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89" w:rsidRPr="00207B7E" w:rsidRDefault="00640F8F" w:rsidP="00871BF8">
      <w:pPr>
        <w:spacing w:line="259" w:lineRule="auto"/>
        <w:ind w:right="37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240DD0" w:rsidRPr="00E86982" w:rsidRDefault="00240DD0" w:rsidP="00955DC8">
      <w:pPr>
        <w:spacing w:after="2" w:line="274" w:lineRule="auto"/>
        <w:ind w:left="5387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>Утвержден решением годового</w:t>
      </w:r>
      <w:r w:rsidR="00637F29">
        <w:rPr>
          <w:rFonts w:ascii="Times New Roman" w:hAnsi="Times New Roman"/>
          <w:color w:val="000000"/>
          <w:sz w:val="24"/>
          <w:lang w:eastAsia="ru-RU"/>
        </w:rPr>
        <w:t xml:space="preserve"> заседания</w:t>
      </w: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240DD0" w:rsidRPr="00E86982" w:rsidRDefault="00240DD0" w:rsidP="00955DC8">
      <w:pPr>
        <w:spacing w:after="2" w:line="274" w:lineRule="auto"/>
        <w:ind w:left="5387"/>
        <w:jc w:val="right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>общего собрания акционеров</w:t>
      </w:r>
    </w:p>
    <w:p w:rsidR="00240DD0" w:rsidRPr="00E86982" w:rsidRDefault="00955DC8" w:rsidP="00955DC8">
      <w:pPr>
        <w:spacing w:after="4" w:line="259" w:lineRule="auto"/>
        <w:ind w:left="5387" w:right="-4"/>
        <w:jc w:val="right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  </w:t>
      </w:r>
      <w:r w:rsidR="00240DD0" w:rsidRPr="00E86982">
        <w:rPr>
          <w:rFonts w:ascii="Times New Roman" w:hAnsi="Times New Roman"/>
          <w:color w:val="000000"/>
          <w:sz w:val="24"/>
          <w:lang w:eastAsia="ru-RU"/>
        </w:rPr>
        <w:t xml:space="preserve">Акционерного общества 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"</w:t>
      </w:r>
      <w:r w:rsidR="00240DD0" w:rsidRPr="00E86982">
        <w:rPr>
          <w:rFonts w:ascii="Times New Roman" w:hAnsi="Times New Roman"/>
          <w:color w:val="000000"/>
          <w:sz w:val="24"/>
          <w:lang w:eastAsia="ru-RU"/>
        </w:rPr>
        <w:t>Владимирагроторг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"</w:t>
      </w:r>
      <w:r w:rsidR="00240DD0" w:rsidRPr="00E86982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от</w:t>
      </w:r>
      <w:r w:rsidR="0075093F" w:rsidRPr="00E86982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637F29">
        <w:rPr>
          <w:rFonts w:ascii="Times New Roman" w:hAnsi="Times New Roman"/>
          <w:color w:val="000000"/>
          <w:sz w:val="24"/>
          <w:lang w:eastAsia="ru-RU"/>
        </w:rPr>
        <w:t>28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.0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5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.</w:t>
      </w:r>
      <w:r w:rsidR="00240DD0" w:rsidRPr="00E86982">
        <w:rPr>
          <w:rFonts w:ascii="Times New Roman" w:hAnsi="Times New Roman"/>
          <w:color w:val="000000"/>
          <w:sz w:val="24"/>
          <w:lang w:eastAsia="ru-RU"/>
        </w:rPr>
        <w:t>20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637F29">
        <w:rPr>
          <w:rFonts w:ascii="Times New Roman" w:hAnsi="Times New Roman"/>
          <w:color w:val="000000"/>
          <w:sz w:val="24"/>
          <w:lang w:eastAsia="ru-RU"/>
        </w:rPr>
        <w:t>5</w:t>
      </w:r>
      <w:r w:rsidR="00240DD0" w:rsidRPr="00E86982">
        <w:rPr>
          <w:rFonts w:ascii="Times New Roman" w:hAnsi="Times New Roman"/>
          <w:color w:val="000000"/>
          <w:sz w:val="24"/>
          <w:lang w:eastAsia="ru-RU"/>
        </w:rPr>
        <w:t>г.</w:t>
      </w:r>
    </w:p>
    <w:p w:rsidR="00240DD0" w:rsidRPr="00E86982" w:rsidRDefault="00240DD0" w:rsidP="00955DC8">
      <w:pPr>
        <w:spacing w:after="4" w:line="259" w:lineRule="auto"/>
        <w:ind w:left="5387" w:right="-4"/>
        <w:jc w:val="right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(протокол от </w:t>
      </w:r>
      <w:r w:rsidR="00C334D2">
        <w:rPr>
          <w:rFonts w:ascii="Times New Roman" w:hAnsi="Times New Roman"/>
          <w:color w:val="000000"/>
          <w:sz w:val="24"/>
          <w:lang w:eastAsia="ru-RU"/>
        </w:rPr>
        <w:t>29</w:t>
      </w:r>
      <w:r w:rsidRPr="00E86982">
        <w:rPr>
          <w:rFonts w:ascii="Times New Roman" w:hAnsi="Times New Roman"/>
          <w:color w:val="000000"/>
          <w:sz w:val="24"/>
          <w:lang w:eastAsia="ru-RU"/>
        </w:rPr>
        <w:t>.0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>.20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637F29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>г. № 01/20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637F29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>)</w:t>
      </w:r>
    </w:p>
    <w:p w:rsidR="00240DD0" w:rsidRPr="00E86982" w:rsidRDefault="00240DD0" w:rsidP="00240DD0">
      <w:pPr>
        <w:spacing w:line="259" w:lineRule="auto"/>
        <w:ind w:left="5387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19" w:line="259" w:lineRule="auto"/>
        <w:ind w:left="5387" w:right="65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955DC8">
      <w:pPr>
        <w:spacing w:after="4" w:line="259" w:lineRule="auto"/>
        <w:ind w:left="5387" w:right="-4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Предварительно утвержден решением Совета директоров </w:t>
      </w:r>
    </w:p>
    <w:p w:rsidR="00240DD0" w:rsidRPr="00E86982" w:rsidRDefault="00240DD0" w:rsidP="00240DD0">
      <w:pPr>
        <w:spacing w:after="2" w:line="274" w:lineRule="auto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Акционерного общества 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"</w:t>
      </w:r>
      <w:r w:rsidRPr="00E86982">
        <w:rPr>
          <w:rFonts w:ascii="Times New Roman" w:hAnsi="Times New Roman"/>
          <w:color w:val="000000"/>
          <w:sz w:val="24"/>
          <w:lang w:eastAsia="ru-RU"/>
        </w:rPr>
        <w:t>Владимирагроторг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"</w:t>
      </w: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       </w:t>
      </w:r>
    </w:p>
    <w:p w:rsidR="00240DD0" w:rsidRPr="00E86982" w:rsidRDefault="00240DD0" w:rsidP="00240DD0">
      <w:pPr>
        <w:spacing w:after="2" w:line="274" w:lineRule="auto"/>
        <w:ind w:left="5387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от </w:t>
      </w:r>
      <w:r w:rsidR="00B35FB7">
        <w:rPr>
          <w:rFonts w:ascii="Times New Roman" w:hAnsi="Times New Roman"/>
          <w:color w:val="000000"/>
          <w:sz w:val="24"/>
          <w:lang w:eastAsia="ru-RU"/>
        </w:rPr>
        <w:t>"22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"</w:t>
      </w: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7A425F" w:rsidRPr="00E86982">
        <w:rPr>
          <w:rFonts w:ascii="Times New Roman" w:hAnsi="Times New Roman"/>
          <w:color w:val="000000"/>
          <w:sz w:val="24"/>
          <w:lang w:eastAsia="ru-RU"/>
        </w:rPr>
        <w:t>апреля</w:t>
      </w: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 20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B35FB7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г. </w:t>
      </w:r>
    </w:p>
    <w:p w:rsidR="00240DD0" w:rsidRPr="00E86982" w:rsidRDefault="00240DD0" w:rsidP="00240DD0">
      <w:pPr>
        <w:spacing w:after="2" w:line="274" w:lineRule="auto"/>
        <w:ind w:left="5387"/>
        <w:jc w:val="right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color w:val="000000"/>
          <w:sz w:val="24"/>
          <w:lang w:eastAsia="ru-RU"/>
        </w:rPr>
        <w:t xml:space="preserve">(протокол от </w:t>
      </w:r>
      <w:r w:rsidR="00B35FB7">
        <w:rPr>
          <w:rFonts w:ascii="Times New Roman" w:hAnsi="Times New Roman"/>
          <w:color w:val="000000"/>
          <w:sz w:val="24"/>
          <w:lang w:eastAsia="ru-RU"/>
        </w:rPr>
        <w:t>22</w:t>
      </w:r>
      <w:r w:rsidRPr="00E86982">
        <w:rPr>
          <w:rFonts w:ascii="Times New Roman" w:hAnsi="Times New Roman"/>
          <w:color w:val="000000"/>
          <w:sz w:val="24"/>
          <w:lang w:eastAsia="ru-RU"/>
        </w:rPr>
        <w:t>.0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4</w:t>
      </w:r>
      <w:r w:rsidRPr="00E86982">
        <w:rPr>
          <w:rFonts w:ascii="Times New Roman" w:hAnsi="Times New Roman"/>
          <w:color w:val="000000"/>
          <w:sz w:val="24"/>
          <w:lang w:eastAsia="ru-RU"/>
        </w:rPr>
        <w:t>.20</w:t>
      </w:r>
      <w:r w:rsidR="008F6B7E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B35FB7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>г. № 0</w:t>
      </w:r>
      <w:r w:rsidR="00660BDE" w:rsidRPr="00E86982">
        <w:rPr>
          <w:rFonts w:ascii="Times New Roman" w:hAnsi="Times New Roman"/>
          <w:color w:val="000000"/>
          <w:sz w:val="24"/>
          <w:lang w:eastAsia="ru-RU"/>
        </w:rPr>
        <w:t>4</w:t>
      </w:r>
      <w:r w:rsidRPr="00E86982">
        <w:rPr>
          <w:rFonts w:ascii="Times New Roman" w:hAnsi="Times New Roman"/>
          <w:color w:val="000000"/>
          <w:sz w:val="24"/>
          <w:lang w:eastAsia="ru-RU"/>
        </w:rPr>
        <w:t>/20</w:t>
      </w:r>
      <w:r w:rsidR="003B742A" w:rsidRPr="00E86982">
        <w:rPr>
          <w:rFonts w:ascii="Times New Roman" w:hAnsi="Times New Roman"/>
          <w:color w:val="000000"/>
          <w:sz w:val="24"/>
          <w:lang w:eastAsia="ru-RU"/>
        </w:rPr>
        <w:t>2</w:t>
      </w:r>
      <w:r w:rsidR="00B35FB7">
        <w:rPr>
          <w:rFonts w:ascii="Times New Roman" w:hAnsi="Times New Roman"/>
          <w:color w:val="000000"/>
          <w:sz w:val="24"/>
          <w:lang w:eastAsia="ru-RU"/>
        </w:rPr>
        <w:t>5</w:t>
      </w:r>
      <w:r w:rsidRPr="00E86982">
        <w:rPr>
          <w:rFonts w:ascii="Times New Roman" w:hAnsi="Times New Roman"/>
          <w:color w:val="000000"/>
          <w:sz w:val="24"/>
          <w:lang w:eastAsia="ru-RU"/>
        </w:rPr>
        <w:t>)</w:t>
      </w:r>
    </w:p>
    <w:p w:rsidR="00240DD0" w:rsidRPr="00E86982" w:rsidRDefault="00240DD0" w:rsidP="00240DD0">
      <w:pPr>
        <w:spacing w:line="259" w:lineRule="auto"/>
        <w:ind w:right="65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88" w:line="259" w:lineRule="auto"/>
        <w:ind w:right="60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268" w:line="259" w:lineRule="auto"/>
        <w:ind w:right="37"/>
        <w:jc w:val="center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39" w:line="270" w:lineRule="auto"/>
        <w:ind w:right="456"/>
        <w:jc w:val="center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b/>
          <w:color w:val="000000"/>
          <w:sz w:val="56"/>
          <w:lang w:eastAsia="ru-RU"/>
        </w:rPr>
        <w:t>ГОДОВОЙ ОТЧЕТ</w:t>
      </w:r>
    </w:p>
    <w:p w:rsidR="00240DD0" w:rsidRPr="00E86982" w:rsidRDefault="00240DD0" w:rsidP="00240DD0">
      <w:pPr>
        <w:spacing w:line="270" w:lineRule="auto"/>
        <w:ind w:right="456"/>
        <w:jc w:val="center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b/>
          <w:color w:val="000000"/>
          <w:sz w:val="56"/>
          <w:lang w:eastAsia="ru-RU"/>
        </w:rPr>
        <w:t>Акционерного общества</w:t>
      </w:r>
    </w:p>
    <w:p w:rsidR="00240DD0" w:rsidRPr="00E86982" w:rsidRDefault="00660BDE" w:rsidP="00240DD0">
      <w:pPr>
        <w:spacing w:line="270" w:lineRule="auto"/>
        <w:ind w:right="456"/>
        <w:jc w:val="center"/>
        <w:rPr>
          <w:rFonts w:ascii="Times New Roman" w:hAnsi="Times New Roman"/>
          <w:b/>
          <w:color w:val="000000"/>
          <w:sz w:val="56"/>
          <w:lang w:eastAsia="ru-RU"/>
        </w:rPr>
      </w:pPr>
      <w:r w:rsidRPr="00E86982">
        <w:rPr>
          <w:rFonts w:ascii="Times New Roman" w:hAnsi="Times New Roman"/>
          <w:b/>
          <w:color w:val="000000"/>
          <w:sz w:val="56"/>
          <w:lang w:eastAsia="ru-RU"/>
        </w:rPr>
        <w:t>"</w:t>
      </w:r>
      <w:r w:rsidR="00240DD0" w:rsidRPr="00E86982">
        <w:rPr>
          <w:rFonts w:ascii="Times New Roman" w:hAnsi="Times New Roman"/>
          <w:b/>
          <w:color w:val="000000"/>
          <w:sz w:val="56"/>
          <w:lang w:eastAsia="ru-RU"/>
        </w:rPr>
        <w:t>Владимирагроторг</w:t>
      </w:r>
      <w:r w:rsidRPr="00E86982">
        <w:rPr>
          <w:rFonts w:ascii="Times New Roman" w:hAnsi="Times New Roman"/>
          <w:b/>
          <w:color w:val="000000"/>
          <w:sz w:val="56"/>
          <w:lang w:eastAsia="ru-RU"/>
        </w:rPr>
        <w:t>"</w:t>
      </w:r>
    </w:p>
    <w:p w:rsidR="00240DD0" w:rsidRPr="00E86982" w:rsidRDefault="00240DD0" w:rsidP="00240DD0">
      <w:pPr>
        <w:spacing w:line="270" w:lineRule="auto"/>
        <w:ind w:right="456"/>
        <w:jc w:val="center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b/>
          <w:color w:val="000000"/>
          <w:sz w:val="56"/>
          <w:lang w:eastAsia="ru-RU"/>
        </w:rPr>
        <w:t>за 20</w:t>
      </w:r>
      <w:r w:rsidR="00ED4A0E" w:rsidRPr="00E86982">
        <w:rPr>
          <w:rFonts w:ascii="Times New Roman" w:hAnsi="Times New Roman"/>
          <w:b/>
          <w:color w:val="000000"/>
          <w:sz w:val="56"/>
          <w:lang w:eastAsia="ru-RU"/>
        </w:rPr>
        <w:t>2</w:t>
      </w:r>
      <w:r w:rsidR="006B0872" w:rsidRPr="00E86982">
        <w:rPr>
          <w:rFonts w:ascii="Times New Roman" w:hAnsi="Times New Roman"/>
          <w:b/>
          <w:color w:val="000000"/>
          <w:sz w:val="56"/>
          <w:lang w:eastAsia="ru-RU"/>
        </w:rPr>
        <w:t>4</w:t>
      </w:r>
      <w:r w:rsidRPr="00E86982">
        <w:rPr>
          <w:rFonts w:ascii="Times New Roman" w:hAnsi="Times New Roman"/>
          <w:b/>
          <w:color w:val="000000"/>
          <w:sz w:val="56"/>
          <w:lang w:eastAsia="ru-RU"/>
        </w:rPr>
        <w:t xml:space="preserve"> год</w:t>
      </w:r>
    </w:p>
    <w:p w:rsidR="00240DD0" w:rsidRPr="00E86982" w:rsidRDefault="00240DD0" w:rsidP="00240DD0">
      <w:pPr>
        <w:spacing w:line="259" w:lineRule="auto"/>
        <w:ind w:right="37"/>
        <w:jc w:val="center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line="259" w:lineRule="auto"/>
        <w:ind w:right="60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50" w:line="259" w:lineRule="auto"/>
        <w:ind w:right="60"/>
        <w:jc w:val="right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after="4" w:line="270" w:lineRule="auto"/>
        <w:ind w:right="401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E86982">
        <w:rPr>
          <w:rFonts w:ascii="Times New Roman" w:hAnsi="Times New Roman"/>
          <w:color w:val="000000"/>
          <w:sz w:val="28"/>
          <w:lang w:eastAsia="ru-RU"/>
        </w:rPr>
        <w:t xml:space="preserve">Информация, содержащаяся в настоящем годовом отчете, </w:t>
      </w:r>
    </w:p>
    <w:p w:rsidR="00240DD0" w:rsidRPr="00E86982" w:rsidRDefault="00240DD0" w:rsidP="00240DD0">
      <w:pPr>
        <w:spacing w:after="4" w:line="270" w:lineRule="auto"/>
        <w:ind w:right="401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E86982">
        <w:rPr>
          <w:rFonts w:ascii="Times New Roman" w:hAnsi="Times New Roman"/>
          <w:color w:val="000000"/>
          <w:sz w:val="28"/>
          <w:lang w:eastAsia="ru-RU"/>
        </w:rPr>
        <w:t xml:space="preserve">подлежит раскрытию в соответствии с законодательством </w:t>
      </w:r>
    </w:p>
    <w:p w:rsidR="00240DD0" w:rsidRPr="00E86982" w:rsidRDefault="00240DD0" w:rsidP="00240DD0">
      <w:pPr>
        <w:spacing w:after="4" w:line="270" w:lineRule="auto"/>
        <w:ind w:right="401"/>
        <w:jc w:val="center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color w:val="000000"/>
          <w:sz w:val="28"/>
          <w:lang w:eastAsia="ru-RU"/>
        </w:rPr>
        <w:t>Российской Федерации о ценных бумагах</w:t>
      </w:r>
    </w:p>
    <w:p w:rsidR="00240DD0" w:rsidRPr="00E86982" w:rsidRDefault="00240DD0" w:rsidP="00240DD0">
      <w:pPr>
        <w:spacing w:line="259" w:lineRule="auto"/>
        <w:ind w:right="235"/>
        <w:jc w:val="center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line="259" w:lineRule="auto"/>
        <w:ind w:right="235"/>
        <w:jc w:val="center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spacing w:line="259" w:lineRule="auto"/>
        <w:ind w:right="235"/>
        <w:jc w:val="center"/>
        <w:rPr>
          <w:rFonts w:ascii="Times New Roman" w:hAnsi="Times New Roman"/>
          <w:color w:val="000000"/>
          <w:lang w:eastAsia="ru-RU"/>
        </w:rPr>
      </w:pP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2"/>
        </w:rPr>
      </w:pPr>
      <w:r w:rsidRPr="00E86982">
        <w:rPr>
          <w:rFonts w:ascii="Times New Roman" w:hAnsi="Times New Roman" w:cs="Times New Roman"/>
          <w:sz w:val="28"/>
          <w:szCs w:val="22"/>
        </w:rPr>
        <w:t xml:space="preserve">Генеральный директор  </w:t>
      </w:r>
      <w:r w:rsidRPr="00E86982">
        <w:rPr>
          <w:rFonts w:ascii="Times New Roman" w:hAnsi="Times New Roman" w:cs="Times New Roman"/>
          <w:sz w:val="28"/>
          <w:szCs w:val="22"/>
        </w:rPr>
        <w:tab/>
      </w:r>
      <w:r w:rsidRPr="00E86982">
        <w:rPr>
          <w:rFonts w:ascii="Times New Roman" w:hAnsi="Times New Roman" w:cs="Times New Roman"/>
          <w:sz w:val="28"/>
          <w:szCs w:val="22"/>
        </w:rPr>
        <w:tab/>
        <w:t xml:space="preserve"> </w:t>
      </w:r>
      <w:r w:rsidRPr="00E86982">
        <w:rPr>
          <w:rFonts w:ascii="Times New Roman" w:hAnsi="Times New Roman" w:cs="Times New Roman"/>
          <w:sz w:val="28"/>
          <w:szCs w:val="22"/>
          <w:u w:val="single"/>
        </w:rPr>
        <w:t xml:space="preserve">                            </w:t>
      </w:r>
      <w:r w:rsidRPr="00E86982">
        <w:rPr>
          <w:rFonts w:ascii="Times New Roman" w:hAnsi="Times New Roman" w:cs="Times New Roman"/>
          <w:sz w:val="28"/>
          <w:szCs w:val="22"/>
        </w:rPr>
        <w:tab/>
        <w:t xml:space="preserve">                С.А.Казаков</w:t>
      </w: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Cs w:val="22"/>
        </w:rPr>
      </w:pPr>
      <w:r w:rsidRPr="00E86982">
        <w:rPr>
          <w:rFonts w:ascii="Times New Roman" w:hAnsi="Times New Roman" w:cs="Times New Roman"/>
          <w:sz w:val="28"/>
          <w:szCs w:val="22"/>
        </w:rPr>
        <w:t xml:space="preserve">Акционерного общества                      </w:t>
      </w:r>
      <w:r w:rsidRPr="00E86982">
        <w:rPr>
          <w:rFonts w:ascii="Times New Roman" w:hAnsi="Times New Roman" w:cs="Times New Roman"/>
          <w:sz w:val="28"/>
          <w:szCs w:val="22"/>
        </w:rPr>
        <w:tab/>
      </w:r>
      <w:r w:rsidRPr="00E86982">
        <w:rPr>
          <w:rFonts w:ascii="Times New Roman" w:hAnsi="Times New Roman" w:cs="Times New Roman"/>
          <w:szCs w:val="22"/>
        </w:rPr>
        <w:t>подпись</w:t>
      </w:r>
    </w:p>
    <w:p w:rsidR="00240DD0" w:rsidRPr="00E86982" w:rsidRDefault="00660BDE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E86982">
        <w:rPr>
          <w:rFonts w:ascii="Times New Roman" w:hAnsi="Times New Roman" w:cs="Times New Roman"/>
          <w:sz w:val="28"/>
          <w:szCs w:val="28"/>
        </w:rPr>
        <w:t>"</w:t>
      </w:r>
      <w:r w:rsidR="00240DD0" w:rsidRPr="00E86982">
        <w:rPr>
          <w:rFonts w:ascii="Times New Roman" w:hAnsi="Times New Roman" w:cs="Times New Roman"/>
          <w:sz w:val="28"/>
          <w:szCs w:val="28"/>
        </w:rPr>
        <w:t>Владимирагроторг</w:t>
      </w:r>
      <w:r w:rsidRPr="00E86982">
        <w:rPr>
          <w:rFonts w:ascii="Times New Roman" w:hAnsi="Times New Roman" w:cs="Times New Roman"/>
          <w:sz w:val="28"/>
          <w:szCs w:val="28"/>
        </w:rPr>
        <w:t>"</w:t>
      </w: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240DD0" w:rsidRPr="00B35FB7" w:rsidRDefault="00240DD0" w:rsidP="00977E7A">
      <w:pPr>
        <w:pStyle w:val="Con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FB7">
        <w:rPr>
          <w:rFonts w:ascii="Times New Roman" w:hAnsi="Times New Roman" w:cs="Times New Roman"/>
          <w:sz w:val="28"/>
          <w:szCs w:val="28"/>
        </w:rPr>
        <w:t xml:space="preserve">Достоверность данных, содержащихся в годовом отчете Акционерного общества </w:t>
      </w:r>
      <w:r w:rsidR="00660BDE" w:rsidRPr="00B35FB7">
        <w:rPr>
          <w:rFonts w:ascii="Times New Roman" w:hAnsi="Times New Roman" w:cs="Times New Roman"/>
          <w:sz w:val="28"/>
          <w:szCs w:val="28"/>
        </w:rPr>
        <w:t>"</w:t>
      </w:r>
      <w:r w:rsidRPr="00B35FB7">
        <w:rPr>
          <w:rFonts w:ascii="Times New Roman" w:hAnsi="Times New Roman" w:cs="Times New Roman"/>
          <w:sz w:val="28"/>
          <w:szCs w:val="28"/>
        </w:rPr>
        <w:t>Владимирагроторг</w:t>
      </w:r>
      <w:r w:rsidR="00660BDE" w:rsidRPr="00B35FB7">
        <w:rPr>
          <w:rFonts w:ascii="Times New Roman" w:hAnsi="Times New Roman" w:cs="Times New Roman"/>
          <w:sz w:val="28"/>
          <w:szCs w:val="28"/>
        </w:rPr>
        <w:t>"</w:t>
      </w:r>
      <w:r w:rsidRPr="00B35FB7">
        <w:rPr>
          <w:rFonts w:ascii="Times New Roman" w:hAnsi="Times New Roman" w:cs="Times New Roman"/>
          <w:sz w:val="28"/>
          <w:szCs w:val="28"/>
        </w:rPr>
        <w:t xml:space="preserve"> за </w:t>
      </w:r>
      <w:r w:rsidR="000C7A20" w:rsidRPr="00B35FB7">
        <w:rPr>
          <w:rFonts w:ascii="Times New Roman" w:hAnsi="Times New Roman" w:cs="Times New Roman"/>
          <w:sz w:val="28"/>
          <w:szCs w:val="28"/>
        </w:rPr>
        <w:t>202</w:t>
      </w:r>
      <w:r w:rsidR="00D1760A" w:rsidRPr="00B35FB7">
        <w:rPr>
          <w:rFonts w:ascii="Times New Roman" w:hAnsi="Times New Roman" w:cs="Times New Roman"/>
          <w:sz w:val="28"/>
          <w:szCs w:val="28"/>
        </w:rPr>
        <w:t>4</w:t>
      </w:r>
      <w:r w:rsidRPr="00B35FB7">
        <w:rPr>
          <w:rFonts w:ascii="Times New Roman" w:hAnsi="Times New Roman" w:cs="Times New Roman"/>
          <w:sz w:val="28"/>
          <w:szCs w:val="28"/>
        </w:rPr>
        <w:t xml:space="preserve"> год, подтверж</w:t>
      </w:r>
      <w:r w:rsidR="0075093F" w:rsidRPr="00B35FB7">
        <w:rPr>
          <w:rFonts w:ascii="Times New Roman" w:hAnsi="Times New Roman" w:cs="Times New Roman"/>
          <w:sz w:val="28"/>
          <w:szCs w:val="28"/>
        </w:rPr>
        <w:t xml:space="preserve">дена заключением Ревизионной комиссии Акционерного общества </w:t>
      </w:r>
      <w:r w:rsidR="00660BDE" w:rsidRPr="00B35FB7">
        <w:rPr>
          <w:rFonts w:ascii="Times New Roman" w:hAnsi="Times New Roman" w:cs="Times New Roman"/>
          <w:sz w:val="28"/>
          <w:szCs w:val="28"/>
        </w:rPr>
        <w:t>"</w:t>
      </w:r>
      <w:r w:rsidR="0075093F" w:rsidRPr="00B35FB7">
        <w:rPr>
          <w:rFonts w:ascii="Times New Roman" w:hAnsi="Times New Roman" w:cs="Times New Roman"/>
          <w:sz w:val="28"/>
          <w:szCs w:val="28"/>
        </w:rPr>
        <w:t>Владимирагроторг</w:t>
      </w:r>
      <w:r w:rsidR="00660BDE" w:rsidRPr="00B35FB7">
        <w:rPr>
          <w:rFonts w:ascii="Times New Roman" w:hAnsi="Times New Roman" w:cs="Times New Roman"/>
          <w:sz w:val="28"/>
          <w:szCs w:val="28"/>
        </w:rPr>
        <w:t>"</w:t>
      </w:r>
      <w:r w:rsidRPr="00B35FB7">
        <w:rPr>
          <w:rFonts w:ascii="Times New Roman" w:hAnsi="Times New Roman" w:cs="Times New Roman"/>
          <w:sz w:val="28"/>
          <w:szCs w:val="28"/>
        </w:rPr>
        <w:t>.</w:t>
      </w: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2E6388" w:rsidRPr="00E86982" w:rsidRDefault="002E6388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E869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5093F" w:rsidRPr="00E86982">
        <w:rPr>
          <w:rFonts w:ascii="Times New Roman" w:hAnsi="Times New Roman" w:cs="Times New Roman"/>
          <w:sz w:val="28"/>
          <w:szCs w:val="28"/>
        </w:rPr>
        <w:t>Р</w:t>
      </w:r>
      <w:r w:rsidRPr="00E86982">
        <w:rPr>
          <w:rFonts w:ascii="Times New Roman" w:hAnsi="Times New Roman" w:cs="Times New Roman"/>
          <w:sz w:val="28"/>
          <w:szCs w:val="28"/>
        </w:rPr>
        <w:t>евизионной комиссии</w:t>
      </w: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E86982">
        <w:rPr>
          <w:rFonts w:ascii="Times New Roman" w:hAnsi="Times New Roman" w:cs="Times New Roman"/>
          <w:sz w:val="28"/>
          <w:szCs w:val="28"/>
        </w:rPr>
        <w:t>Акционерного общества</w:t>
      </w:r>
    </w:p>
    <w:p w:rsidR="00240DD0" w:rsidRPr="00E86982" w:rsidRDefault="00660BDE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E86982">
        <w:rPr>
          <w:rFonts w:ascii="Times New Roman" w:hAnsi="Times New Roman" w:cs="Times New Roman"/>
          <w:sz w:val="28"/>
          <w:szCs w:val="28"/>
        </w:rPr>
        <w:t>"</w:t>
      </w:r>
      <w:r w:rsidR="00240DD0" w:rsidRPr="00E86982">
        <w:rPr>
          <w:rFonts w:ascii="Times New Roman" w:hAnsi="Times New Roman" w:cs="Times New Roman"/>
          <w:sz w:val="28"/>
          <w:szCs w:val="28"/>
        </w:rPr>
        <w:t>Владимирагроторг</w:t>
      </w:r>
      <w:r w:rsidRPr="00E86982">
        <w:rPr>
          <w:rFonts w:ascii="Times New Roman" w:hAnsi="Times New Roman" w:cs="Times New Roman"/>
          <w:sz w:val="28"/>
          <w:szCs w:val="28"/>
        </w:rPr>
        <w:t>"</w:t>
      </w:r>
      <w:r w:rsidR="00240DD0" w:rsidRPr="00E86982">
        <w:rPr>
          <w:rFonts w:ascii="Times New Roman" w:hAnsi="Times New Roman" w:cs="Times New Roman"/>
          <w:sz w:val="28"/>
          <w:szCs w:val="28"/>
        </w:rPr>
        <w:t xml:space="preserve">                            ______________               Г.И.Реброва</w:t>
      </w:r>
    </w:p>
    <w:p w:rsidR="00240DD0" w:rsidRPr="00E86982" w:rsidRDefault="00240DD0" w:rsidP="00240DD0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E8698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подпись</w:t>
      </w:r>
    </w:p>
    <w:p w:rsidR="00444189" w:rsidRPr="00E86982" w:rsidRDefault="00444189" w:rsidP="00871BF8">
      <w:pPr>
        <w:spacing w:line="259" w:lineRule="auto"/>
        <w:ind w:right="60"/>
        <w:jc w:val="right"/>
        <w:rPr>
          <w:rFonts w:ascii="Times New Roman" w:hAnsi="Times New Roman"/>
          <w:color w:val="000000"/>
          <w:lang w:eastAsia="ru-RU"/>
        </w:rPr>
      </w:pPr>
    </w:p>
    <w:p w:rsidR="00444189" w:rsidRPr="00E86982" w:rsidRDefault="00444189" w:rsidP="00871BF8">
      <w:pPr>
        <w:spacing w:after="50" w:line="259" w:lineRule="auto"/>
        <w:ind w:right="60"/>
        <w:jc w:val="right"/>
        <w:rPr>
          <w:rFonts w:ascii="Times New Roman" w:hAnsi="Times New Roman"/>
          <w:color w:val="000000"/>
          <w:lang w:eastAsia="ru-RU"/>
        </w:rPr>
      </w:pPr>
    </w:p>
    <w:p w:rsidR="00AC187B" w:rsidRPr="00E86982" w:rsidRDefault="00AC187B" w:rsidP="00AC187B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lastRenderedPageBreak/>
        <w:t xml:space="preserve">Во исполнение требований, определенных Главой 57 Положения Банка России от 27.03.2020 № 714-П "О раскрытии информации эмитентами эмиссионных ценных бумаг", </w:t>
      </w:r>
      <w:r w:rsidRPr="00E86982">
        <w:rPr>
          <w:rFonts w:ascii="Times New Roman" w:hAnsi="Times New Roman"/>
          <w:b/>
          <w:sz w:val="20"/>
          <w:szCs w:val="20"/>
        </w:rPr>
        <w:t>Акционерное общество "Владимирагроторг"</w:t>
      </w:r>
      <w:r w:rsidRPr="00E86982">
        <w:rPr>
          <w:rFonts w:ascii="Times New Roman" w:hAnsi="Times New Roman"/>
          <w:sz w:val="20"/>
          <w:szCs w:val="20"/>
        </w:rPr>
        <w:t xml:space="preserve"> (далее по тексту – </w:t>
      </w:r>
      <w:r w:rsidRPr="00E86982">
        <w:rPr>
          <w:rFonts w:ascii="Times New Roman" w:hAnsi="Times New Roman"/>
          <w:b/>
          <w:sz w:val="20"/>
          <w:szCs w:val="20"/>
        </w:rPr>
        <w:t>АО "Владимирагроторг"</w:t>
      </w:r>
      <w:r w:rsidRPr="00E86982">
        <w:rPr>
          <w:rFonts w:ascii="Times New Roman" w:hAnsi="Times New Roman"/>
          <w:sz w:val="20"/>
          <w:szCs w:val="20"/>
        </w:rPr>
        <w:t xml:space="preserve"> или </w:t>
      </w:r>
      <w:r w:rsidRPr="00E86982">
        <w:rPr>
          <w:rFonts w:ascii="Times New Roman" w:hAnsi="Times New Roman"/>
          <w:b/>
          <w:sz w:val="20"/>
          <w:szCs w:val="20"/>
        </w:rPr>
        <w:t>Общество</w:t>
      </w:r>
      <w:r w:rsidRPr="00E86982">
        <w:rPr>
          <w:rFonts w:ascii="Times New Roman" w:hAnsi="Times New Roman"/>
          <w:sz w:val="20"/>
          <w:szCs w:val="20"/>
        </w:rPr>
        <w:t>) раскрывает информацию в форме на</w:t>
      </w:r>
      <w:r w:rsidR="0033154F">
        <w:rPr>
          <w:rFonts w:ascii="Times New Roman" w:hAnsi="Times New Roman"/>
          <w:sz w:val="20"/>
          <w:szCs w:val="20"/>
        </w:rPr>
        <w:t>стоящего годового отчета за 2024</w:t>
      </w:r>
      <w:r w:rsidRPr="00E86982">
        <w:rPr>
          <w:rFonts w:ascii="Times New Roman" w:hAnsi="Times New Roman"/>
          <w:sz w:val="20"/>
          <w:szCs w:val="20"/>
        </w:rPr>
        <w:t xml:space="preserve"> год.</w:t>
      </w:r>
    </w:p>
    <w:p w:rsidR="00A51F11" w:rsidRPr="00E86982" w:rsidRDefault="00A51F11" w:rsidP="00C57D7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444189" w:rsidRPr="00A37D24" w:rsidRDefault="00444189" w:rsidP="00C57D7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Общая характеристика Общества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Полное фирменное наименование общества:</w:t>
      </w:r>
      <w:r w:rsidR="00AB1CD6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B1CD6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А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кционерное общество </w:t>
      </w:r>
      <w:r w:rsidR="00660BDE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Владимирагроторг</w:t>
      </w:r>
      <w:r w:rsidR="00660BDE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. </w:t>
      </w:r>
    </w:p>
    <w:p w:rsidR="00AC187B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Сокращенное фирменное наименование общества: </w:t>
      </w:r>
      <w:r w:rsidR="00D45222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АО </w:t>
      </w:r>
      <w:r w:rsidR="00660BDE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Владимирагроторг</w:t>
      </w:r>
      <w:r w:rsidR="00660BDE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Место нахождения: </w:t>
      </w:r>
      <w:r w:rsidR="00AC187B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600029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, Р</w:t>
      </w:r>
      <w:r w:rsidR="00AB1CD6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оссийская Федерация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, </w:t>
      </w:r>
      <w:r w:rsidR="00AC187B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Владимирская область,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г. Владимир, ул.</w:t>
      </w:r>
      <w:r w:rsidR="002D5B3E" w:rsidRPr="00E86982">
        <w:rPr>
          <w:rFonts w:ascii="Times New Roman" w:hAnsi="Times New Roman"/>
          <w:noProof/>
          <w:sz w:val="20"/>
          <w:szCs w:val="20"/>
        </w:rPr>
        <w:t xml:space="preserve"> </w:t>
      </w:r>
      <w:r w:rsidR="002D5B3E" w:rsidRPr="00E86982">
        <w:rPr>
          <w:rFonts w:ascii="Times New Roman" w:hAnsi="Times New Roman"/>
          <w:b/>
          <w:bCs/>
          <w:noProof/>
          <w:sz w:val="20"/>
          <w:szCs w:val="20"/>
        </w:rPr>
        <w:t>Куйбышева, д. 24А</w:t>
      </w:r>
      <w:r w:rsidR="00660BDE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AC187B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помещение 14.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Наименование органа, осуществившего государственную регистрацию, дата государственной регистрации и регистрационный номер: </w:t>
      </w:r>
      <w:r w:rsidR="00AB1CD6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бщество зарегистрировано</w:t>
      </w:r>
      <w:r w:rsidR="00BA757C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постановлением главы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администраци</w:t>
      </w:r>
      <w:r w:rsidR="00BA757C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и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Октябрьского района г. Владимира</w:t>
      </w:r>
      <w:r w:rsidR="00BA757C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от 19.10.1992г.</w:t>
      </w:r>
      <w:r w:rsidR="00AB1CD6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,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регистрационный номер: 279.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Основной государственный регистрационный номер (ОГРН):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1023301460104,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дата внесения записи в Единый государственный реестр юридических лиц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08.10.2002г.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Идентификационный номер налогоплательщика (ИНН):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3302000154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Сведения об уставном капитале: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уставный капитал Общества составляет </w:t>
      </w:r>
      <w:r w:rsidR="00575859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18000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рублей, состоит из </w:t>
      </w:r>
      <w:r w:rsidR="00575859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72000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обыкновенных акций номинальной стоимостью </w:t>
      </w:r>
      <w:r w:rsidR="00575859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0,25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рубл</w:t>
      </w:r>
      <w:r w:rsidR="00575859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я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каждая. Размер уставного капитала Общества в </w:t>
      </w:r>
      <w:r w:rsidR="00024007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202</w:t>
      </w:r>
      <w:r w:rsidR="00817F0B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="00BA757C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году не изменялся. </w:t>
      </w:r>
    </w:p>
    <w:p w:rsidR="000D1614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Общее количество зарегистрированных в реестр</w:t>
      </w:r>
      <w:r w:rsidR="0057585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 лиц по состоянию на </w:t>
      </w:r>
      <w:r w:rsidR="00575859" w:rsidRPr="00E86982">
        <w:rPr>
          <w:rFonts w:ascii="Times New Roman" w:hAnsi="Times New Roman"/>
          <w:sz w:val="20"/>
          <w:szCs w:val="20"/>
          <w:lang w:eastAsia="ru-RU"/>
        </w:rPr>
        <w:t>31.12.</w:t>
      </w:r>
      <w:r w:rsidR="000C7A20" w:rsidRPr="00E86982">
        <w:rPr>
          <w:rFonts w:ascii="Times New Roman" w:hAnsi="Times New Roman"/>
          <w:sz w:val="20"/>
          <w:szCs w:val="20"/>
          <w:lang w:eastAsia="ru-RU"/>
        </w:rPr>
        <w:t>202</w:t>
      </w:r>
      <w:r w:rsidR="0033154F">
        <w:rPr>
          <w:rFonts w:ascii="Times New Roman" w:hAnsi="Times New Roman"/>
          <w:sz w:val="20"/>
          <w:szCs w:val="20"/>
          <w:lang w:eastAsia="ru-RU"/>
        </w:rPr>
        <w:t>4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г.: </w:t>
      </w:r>
      <w:r w:rsidR="0033154F">
        <w:rPr>
          <w:rFonts w:ascii="Times New Roman" w:hAnsi="Times New Roman"/>
          <w:b/>
          <w:sz w:val="20"/>
          <w:szCs w:val="20"/>
          <w:lang w:eastAsia="ru-RU"/>
        </w:rPr>
        <w:t>233</w:t>
      </w:r>
      <w:r w:rsidR="00024007" w:rsidRPr="00E86982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33154F" w:rsidRPr="0033154F" w:rsidRDefault="0033154F" w:rsidP="0033154F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3154F">
        <w:rPr>
          <w:rFonts w:ascii="Times New Roman" w:hAnsi="Times New Roman"/>
          <w:sz w:val="20"/>
          <w:szCs w:val="20"/>
        </w:rPr>
        <w:t xml:space="preserve">Реестродержатель Общества (Регистратор): </w:t>
      </w:r>
      <w:r w:rsidRPr="0033154F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"Оборонрегистр" </w:t>
      </w:r>
      <w:r w:rsidRPr="0033154F">
        <w:rPr>
          <w:rFonts w:ascii="Times New Roman" w:hAnsi="Times New Roman"/>
          <w:b/>
          <w:color w:val="000000"/>
          <w:sz w:val="20"/>
          <w:szCs w:val="20"/>
        </w:rPr>
        <w:t xml:space="preserve">(ОГРН 1047796702843; ИНН 7731513346; сайт в сети Интернет https://oboronregistr.ru/). </w:t>
      </w:r>
    </w:p>
    <w:p w:rsidR="0033154F" w:rsidRDefault="0033154F" w:rsidP="0033154F">
      <w:pPr>
        <w:pStyle w:val="af7"/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Cs w:val="20"/>
        </w:rPr>
      </w:pPr>
      <w:r w:rsidRPr="0033154F">
        <w:rPr>
          <w:rFonts w:ascii="Times New Roman" w:hAnsi="Times New Roman"/>
          <w:b/>
          <w:color w:val="000000"/>
          <w:szCs w:val="20"/>
        </w:rPr>
        <w:t xml:space="preserve">Адрес Владимирского филиала ООО "Оборонрегистр": 600001, г. Владимир,  ул. Дворянская, д. 27А, корпус 17, этаж 6;  </w:t>
      </w:r>
      <w:r w:rsidRPr="0033154F">
        <w:rPr>
          <w:rFonts w:ascii="Times New Roman" w:hAnsi="Times New Roman"/>
          <w:b/>
          <w:bCs/>
          <w:szCs w:val="20"/>
        </w:rPr>
        <w:t xml:space="preserve">тел. (4922) 32-00-37; </w:t>
      </w:r>
      <w:r w:rsidRPr="0033154F">
        <w:rPr>
          <w:rFonts w:ascii="Times New Roman" w:hAnsi="Times New Roman"/>
          <w:b/>
          <w:color w:val="000000"/>
          <w:szCs w:val="20"/>
        </w:rPr>
        <w:t>e-mail: </w:t>
      </w:r>
      <w:hyperlink r:id="rId8" w:history="1">
        <w:r w:rsidRPr="0033154F">
          <w:rPr>
            <w:rFonts w:ascii="Times New Roman" w:hAnsi="Times New Roman"/>
            <w:b/>
            <w:color w:val="000000"/>
            <w:szCs w:val="20"/>
            <w:lang w:val="en-US"/>
          </w:rPr>
          <w:t>vladimir</w:t>
        </w:r>
        <w:r w:rsidRPr="0033154F">
          <w:rPr>
            <w:rFonts w:ascii="Times New Roman" w:hAnsi="Times New Roman"/>
            <w:b/>
            <w:color w:val="000000"/>
            <w:szCs w:val="20"/>
          </w:rPr>
          <w:t>@</w:t>
        </w:r>
        <w:r w:rsidRPr="0033154F">
          <w:rPr>
            <w:rFonts w:ascii="Times New Roman" w:hAnsi="Times New Roman"/>
            <w:b/>
            <w:color w:val="000000"/>
            <w:kern w:val="20"/>
            <w:szCs w:val="20"/>
          </w:rPr>
          <w:t>oboronregistr</w:t>
        </w:r>
        <w:r w:rsidRPr="0033154F">
          <w:rPr>
            <w:rFonts w:ascii="Times New Roman" w:hAnsi="Times New Roman"/>
            <w:b/>
            <w:color w:val="000000"/>
            <w:szCs w:val="20"/>
          </w:rPr>
          <w:t>.ru</w:t>
        </w:r>
      </w:hyperlink>
      <w:r w:rsidRPr="0033154F">
        <w:rPr>
          <w:rFonts w:ascii="Times New Roman" w:hAnsi="Times New Roman"/>
          <w:b/>
          <w:color w:val="000000"/>
          <w:szCs w:val="20"/>
        </w:rPr>
        <w:t>.</w:t>
      </w:r>
    </w:p>
    <w:p w:rsidR="00220F64" w:rsidRPr="0033154F" w:rsidRDefault="00220F64" w:rsidP="0033154F">
      <w:pPr>
        <w:pStyle w:val="af7"/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Cs w:val="20"/>
        </w:rPr>
      </w:pPr>
      <w:r w:rsidRPr="00E86982">
        <w:rPr>
          <w:rFonts w:ascii="Times New Roman" w:hAnsi="Times New Roman"/>
          <w:szCs w:val="20"/>
        </w:rPr>
        <w:t>Перечень средств информации, в которых размещается (раскрывается) информация об Обществе:</w:t>
      </w:r>
    </w:p>
    <w:p w:rsidR="00024007" w:rsidRPr="00E86982" w:rsidRDefault="00220F64" w:rsidP="0033154F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86982">
        <w:rPr>
          <w:rFonts w:ascii="Times New Roman" w:hAnsi="Times New Roman"/>
          <w:b/>
          <w:sz w:val="20"/>
          <w:szCs w:val="20"/>
        </w:rPr>
        <w:t>- Сайт</w:t>
      </w:r>
      <w:r w:rsidR="00F657A1" w:rsidRPr="00E86982">
        <w:rPr>
          <w:rFonts w:ascii="Times New Roman" w:hAnsi="Times New Roman"/>
          <w:b/>
          <w:sz w:val="20"/>
          <w:szCs w:val="20"/>
        </w:rPr>
        <w:t xml:space="preserve"> АО </w:t>
      </w:r>
      <w:r w:rsidR="00660BDE" w:rsidRPr="00E86982">
        <w:rPr>
          <w:rFonts w:ascii="Times New Roman" w:hAnsi="Times New Roman"/>
          <w:b/>
          <w:sz w:val="20"/>
          <w:szCs w:val="20"/>
        </w:rPr>
        <w:t>"</w:t>
      </w:r>
      <w:r w:rsidR="00F657A1" w:rsidRPr="00E86982">
        <w:rPr>
          <w:rFonts w:ascii="Times New Roman" w:hAnsi="Times New Roman"/>
          <w:b/>
          <w:sz w:val="20"/>
          <w:szCs w:val="20"/>
        </w:rPr>
        <w:t>Владимирагроторг</w:t>
      </w:r>
      <w:r w:rsidR="00660BDE" w:rsidRPr="00E86982">
        <w:rPr>
          <w:rFonts w:ascii="Times New Roman" w:hAnsi="Times New Roman"/>
          <w:b/>
          <w:sz w:val="20"/>
          <w:szCs w:val="20"/>
        </w:rPr>
        <w:t>"</w:t>
      </w:r>
      <w:r w:rsidRPr="00E86982">
        <w:rPr>
          <w:rFonts w:ascii="Times New Roman" w:hAnsi="Times New Roman"/>
          <w:b/>
          <w:sz w:val="20"/>
          <w:szCs w:val="20"/>
        </w:rPr>
        <w:t xml:space="preserve"> в информационно-телекоммуникационной сети </w:t>
      </w:r>
      <w:r w:rsidR="00660BDE" w:rsidRPr="00E86982">
        <w:rPr>
          <w:rFonts w:ascii="Times New Roman" w:hAnsi="Times New Roman"/>
          <w:b/>
          <w:sz w:val="20"/>
          <w:szCs w:val="20"/>
        </w:rPr>
        <w:t>"</w:t>
      </w:r>
      <w:r w:rsidRPr="00E86982">
        <w:rPr>
          <w:rFonts w:ascii="Times New Roman" w:hAnsi="Times New Roman"/>
          <w:b/>
          <w:sz w:val="20"/>
          <w:szCs w:val="20"/>
        </w:rPr>
        <w:t>Интернет</w:t>
      </w:r>
      <w:r w:rsidR="00660BDE" w:rsidRPr="00E86982">
        <w:rPr>
          <w:rFonts w:ascii="Times New Roman" w:hAnsi="Times New Roman"/>
          <w:b/>
          <w:sz w:val="20"/>
          <w:szCs w:val="20"/>
        </w:rPr>
        <w:t>"</w:t>
      </w:r>
      <w:r w:rsidRPr="00E86982">
        <w:rPr>
          <w:rFonts w:ascii="Times New Roman" w:hAnsi="Times New Roman"/>
          <w:b/>
          <w:sz w:val="20"/>
          <w:szCs w:val="20"/>
        </w:rPr>
        <w:t>:</w:t>
      </w:r>
    </w:p>
    <w:p w:rsidR="00220F64" w:rsidRPr="00E86982" w:rsidRDefault="00F2352C" w:rsidP="0033154F">
      <w:pPr>
        <w:spacing w:line="240" w:lineRule="auto"/>
        <w:ind w:firstLine="709"/>
        <w:jc w:val="both"/>
        <w:rPr>
          <w:rStyle w:val="a7"/>
          <w:rFonts w:ascii="Times New Roman" w:hAnsi="Times New Roman"/>
          <w:b/>
          <w:color w:val="auto"/>
          <w:sz w:val="20"/>
          <w:szCs w:val="20"/>
        </w:rPr>
      </w:pPr>
      <w:hyperlink r:id="rId9" w:history="1">
        <w:r w:rsidR="00F657A1" w:rsidRPr="00E86982">
          <w:rPr>
            <w:rStyle w:val="a7"/>
            <w:rFonts w:ascii="Times New Roman" w:hAnsi="Times New Roman"/>
            <w:b/>
            <w:color w:val="auto"/>
            <w:sz w:val="20"/>
            <w:szCs w:val="20"/>
          </w:rPr>
          <w:t>http://vladagrotorg.com</w:t>
        </w:r>
      </w:hyperlink>
    </w:p>
    <w:p w:rsidR="00024007" w:rsidRPr="00E86982" w:rsidRDefault="00024007" w:rsidP="0033154F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86982">
        <w:rPr>
          <w:rFonts w:ascii="Times New Roman" w:hAnsi="Times New Roman"/>
          <w:b/>
          <w:sz w:val="20"/>
          <w:szCs w:val="20"/>
        </w:rPr>
        <w:t xml:space="preserve">- </w:t>
      </w:r>
      <w:r w:rsidRPr="00E8698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"Интерфакс - Центр раскрытия корпоративной информации": </w:t>
      </w:r>
    </w:p>
    <w:p w:rsidR="00024007" w:rsidRPr="00E86982" w:rsidRDefault="00F2352C" w:rsidP="0033154F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hyperlink r:id="rId10" w:history="1">
        <w:r w:rsidR="00024007" w:rsidRPr="00E86982">
          <w:rPr>
            <w:rStyle w:val="a7"/>
            <w:rFonts w:ascii="Times New Roman" w:hAnsi="Times New Roman"/>
            <w:b/>
            <w:color w:val="auto"/>
            <w:sz w:val="20"/>
            <w:szCs w:val="20"/>
          </w:rPr>
          <w:t>https://www.e-disclosure.ru/portal/company.aspx?id=23375</w:t>
        </w:r>
      </w:hyperlink>
    </w:p>
    <w:p w:rsidR="00EB12D4" w:rsidRPr="00E86982" w:rsidRDefault="00EB12D4" w:rsidP="00857C30">
      <w:pPr>
        <w:spacing w:after="5" w:line="240" w:lineRule="auto"/>
        <w:ind w:right="112" w:firstLine="709"/>
        <w:contextualSpacing/>
        <w:jc w:val="both"/>
        <w:rPr>
          <w:rFonts w:ascii="Times New Roman" w:hAnsi="Times New Roman"/>
          <w:b/>
          <w:sz w:val="20"/>
          <w:szCs w:val="20"/>
          <w:u w:val="single" w:color="000000"/>
          <w:lang w:eastAsia="ru-RU"/>
        </w:rPr>
      </w:pPr>
    </w:p>
    <w:p w:rsidR="00444189" w:rsidRPr="00A37D24" w:rsidRDefault="00D132CF" w:rsidP="00673E5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Сведения о п</w:t>
      </w:r>
      <w:r w:rsidR="00444189"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оложени</w:t>
      </w: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и</w:t>
      </w:r>
      <w:r w:rsidR="00444189"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 xml:space="preserve"> акционерного общества в отрасли</w:t>
      </w:r>
    </w:p>
    <w:p w:rsidR="00D132CF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Общество работает в </w:t>
      </w:r>
      <w:r w:rsidR="00D132CF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отрасли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эксплуатации зданий, сооружений, иных основных средств: сдает 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 наем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собственное нежилое недвижимое имущество, а также осуществляет другие виды деятельности</w:t>
      </w:r>
      <w:r w:rsidR="002672D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Положение, занимаемое </w:t>
      </w:r>
      <w:r w:rsidR="00D132CF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бществом на рынке оказываемых услуг, является достаточно устойчивым и относительно стабильным. </w:t>
      </w:r>
    </w:p>
    <w:p w:rsidR="00F82BF6" w:rsidRPr="00E86982" w:rsidRDefault="00F82BF6" w:rsidP="00C57D72">
      <w:pPr>
        <w:spacing w:after="5" w:line="240" w:lineRule="auto"/>
        <w:ind w:right="132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444189" w:rsidRPr="00A37D24" w:rsidRDefault="00444189" w:rsidP="00673E5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Приоритетные направления деятельности акционерного общества</w:t>
      </w:r>
    </w:p>
    <w:p w:rsidR="00444189" w:rsidRPr="00E86982" w:rsidRDefault="00444189" w:rsidP="00432728">
      <w:pPr>
        <w:spacing w:line="240" w:lineRule="auto"/>
        <w:ind w:firstLine="709"/>
        <w:jc w:val="both"/>
        <w:rPr>
          <w:rFonts w:ascii="Times New Roman" w:hAnsi="Times New Roman"/>
          <w:color w:val="305496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Основным направлением деятельности </w:t>
      </w:r>
      <w:r w:rsidR="00D132CF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является сдача в аренду </w:t>
      </w:r>
      <w:r w:rsidR="002672D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объектов недвижимого</w:t>
      </w:r>
      <w:r w:rsidR="000B36B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имущество.</w:t>
      </w:r>
      <w:r w:rsidR="002672D2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Основными перспективными задачами </w:t>
      </w:r>
      <w:r w:rsidR="00D132CF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являются удержание рынков предоставления услуг, расширение их ассортимента, а также проникновение на новые рынки предоставления услуг. </w:t>
      </w:r>
    </w:p>
    <w:p w:rsidR="00561AEE" w:rsidRPr="00E86982" w:rsidRDefault="00561AEE" w:rsidP="00C57D72">
      <w:pPr>
        <w:spacing w:after="5" w:line="240" w:lineRule="auto"/>
        <w:ind w:right="9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561AEE" w:rsidRPr="00E86982" w:rsidRDefault="00561AEE" w:rsidP="00C57D72">
      <w:pPr>
        <w:spacing w:after="5" w:line="240" w:lineRule="auto"/>
        <w:ind w:right="9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444189" w:rsidRPr="00A37D24" w:rsidRDefault="00444189" w:rsidP="00673E5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Отчет Совета директоров</w:t>
      </w:r>
      <w:r w:rsidR="00D132CF"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 xml:space="preserve"> акционерного общества</w:t>
      </w:r>
      <w:r w:rsidRPr="00A37D24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 xml:space="preserve"> о результатах развития акционерного общества по приоритетным направлениям его деятельности</w:t>
      </w:r>
    </w:p>
    <w:p w:rsidR="00A51F11" w:rsidRPr="00E86982" w:rsidRDefault="00A51F11" w:rsidP="00A37D24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A51F11" w:rsidRPr="00E86982" w:rsidRDefault="00444189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Основные показатели деятельности 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АО </w:t>
      </w:r>
      <w:r w:rsidR="00660BD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"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Владимирагроторг</w:t>
      </w:r>
      <w:r w:rsidR="00660BD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"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C7A2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202</w:t>
      </w:r>
      <w:r w:rsidR="00A37D24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="000B111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г.</w:t>
      </w:r>
      <w:r w:rsidR="00D132CF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 сравнении):</w:t>
      </w:r>
    </w:p>
    <w:p w:rsidR="00A37D24" w:rsidRDefault="00A37D24" w:rsidP="00A37D24">
      <w:pPr>
        <w:keepNext/>
        <w:keepLines/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1A74" w:rsidRPr="00E86982" w:rsidRDefault="00444189" w:rsidP="00A37D24">
      <w:pPr>
        <w:keepNext/>
        <w:keepLines/>
        <w:spacing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Объем реализованной продукции, оказанных работ и услуг</w:t>
      </w:r>
      <w:r w:rsidR="002337AF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без НДС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(тыс. руб.)</w:t>
      </w:r>
    </w:p>
    <w:tbl>
      <w:tblPr>
        <w:tblpPr w:leftFromText="180" w:rightFromText="180" w:vertAnchor="text" w:tblpY="1"/>
        <w:tblOverlap w:val="never"/>
        <w:tblW w:w="9634" w:type="dxa"/>
        <w:tblCellMar>
          <w:top w:w="14" w:type="dxa"/>
          <w:left w:w="44" w:type="dxa"/>
          <w:right w:w="0" w:type="dxa"/>
        </w:tblCellMar>
        <w:tblLook w:val="00A0"/>
      </w:tblPr>
      <w:tblGrid>
        <w:gridCol w:w="3256"/>
        <w:gridCol w:w="3118"/>
        <w:gridCol w:w="3260"/>
      </w:tblGrid>
      <w:tr w:rsidR="00561AEE" w:rsidRPr="00E86982" w:rsidTr="00441639">
        <w:trPr>
          <w:trHeight w:val="668"/>
        </w:trPr>
        <w:tc>
          <w:tcPr>
            <w:tcW w:w="325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1AEE" w:rsidRPr="00E86982" w:rsidRDefault="00561AEE" w:rsidP="00A37D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202</w:t>
            </w:r>
            <w:r w:rsidR="006B0872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4C78FC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  <w:r w:rsidR="00441639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</w:t>
            </w:r>
            <w:r w:rsidR="006065BE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78FC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61AEE" w:rsidRPr="00E86982" w:rsidRDefault="00561AEE" w:rsidP="00A37D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202</w:t>
            </w:r>
            <w:r w:rsidR="006B0872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  <w:r w:rsidR="00441639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</w:t>
            </w:r>
            <w:r w:rsidR="006065BE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78FC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:rsidR="004C78FC" w:rsidRPr="00E86982" w:rsidRDefault="00561AEE" w:rsidP="00A37D2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Изменения относительно 20</w:t>
            </w:r>
            <w:r w:rsidR="004C78FC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B0872"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г.,</w:t>
            </w:r>
          </w:p>
          <w:p w:rsidR="00561AEE" w:rsidRPr="00E86982" w:rsidRDefault="00561AEE" w:rsidP="00A37D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61AEE" w:rsidRPr="00E86982" w:rsidTr="00441639">
        <w:trPr>
          <w:trHeight w:val="29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EE" w:rsidRPr="00E86982" w:rsidRDefault="006B0872" w:rsidP="00A37D2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5 096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EE" w:rsidRPr="00E86982" w:rsidRDefault="006B0872" w:rsidP="00A37D2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8 346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61AEE" w:rsidRPr="00E86982" w:rsidRDefault="006B0872" w:rsidP="00A37D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98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5260DD" w:rsidRPr="00E8698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86982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</w:tbl>
    <w:p w:rsidR="00ED3F48" w:rsidRPr="00E86982" w:rsidRDefault="00ED3F48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6DD0" w:rsidRPr="00E86982" w:rsidRDefault="00444189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</w:t>
      </w:r>
      <w:r w:rsidR="000C7A2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202</w:t>
      </w:r>
      <w:r w:rsidR="006B087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году объем</w:t>
      </w:r>
      <w:r w:rsidR="004A6817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ы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продаж по сравнению с 20</w:t>
      </w:r>
      <w:r w:rsidR="000C7A2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6B087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="00EF673F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годом </w:t>
      </w:r>
      <w:r w:rsidR="003A637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целом </w:t>
      </w:r>
      <w:r w:rsidR="005260DD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выросли</w:t>
      </w:r>
      <w:r w:rsidR="007404C2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</w:t>
      </w:r>
      <w:r w:rsidR="0069584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5260DD" w:rsidRPr="00E86982">
        <w:rPr>
          <w:rFonts w:ascii="Times New Roman" w:hAnsi="Times New Roman"/>
          <w:b/>
          <w:sz w:val="20"/>
          <w:szCs w:val="20"/>
        </w:rPr>
        <w:t>3</w:t>
      </w:r>
      <w:r w:rsidR="002672D2" w:rsidRPr="00E86982">
        <w:rPr>
          <w:rFonts w:ascii="Times New Roman" w:hAnsi="Times New Roman"/>
          <w:b/>
          <w:sz w:val="20"/>
          <w:szCs w:val="20"/>
        </w:rPr>
        <w:t>,</w:t>
      </w:r>
      <w:r w:rsidR="006B0872" w:rsidRPr="00E86982">
        <w:rPr>
          <w:rFonts w:ascii="Times New Roman" w:hAnsi="Times New Roman"/>
          <w:b/>
          <w:sz w:val="20"/>
          <w:szCs w:val="20"/>
        </w:rPr>
        <w:t>25</w:t>
      </w:r>
      <w:r w:rsidR="00ED3F48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672D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млн</w:t>
      </w:r>
      <w:r w:rsidR="00ED3F4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 рублей</w:t>
      </w:r>
      <w:r w:rsidR="003A637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 </w:t>
      </w:r>
    </w:p>
    <w:p w:rsidR="002F6DD0" w:rsidRPr="00E86982" w:rsidRDefault="00A37D24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 целом по О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бществу в </w:t>
      </w:r>
      <w:r w:rsidR="000C7A2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202</w:t>
      </w:r>
      <w:r w:rsidR="006B087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году себестоимость реализованной продукции </w:t>
      </w:r>
      <w:r w:rsidR="006B087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уменьшилась</w:t>
      </w:r>
      <w:r w:rsidR="002F6DD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2F6DD0" w:rsidRPr="00E86982" w:rsidRDefault="00444189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Среднесписочная численность работников </w:t>
      </w:r>
      <w:r w:rsidR="004A6817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715E1B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бщества состав</w:t>
      </w:r>
      <w:r w:rsidR="007D5B87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ила</w:t>
      </w:r>
      <w:r w:rsidR="00715E1B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1760A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4</w:t>
      </w:r>
      <w:r w:rsidR="00715E1B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человек</w:t>
      </w:r>
      <w:r w:rsidR="006065B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444189" w:rsidRPr="00E86982" w:rsidRDefault="00444189" w:rsidP="00A37D2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Среднемесячная заработная плата работников по </w:t>
      </w:r>
      <w:r w:rsidR="004A6817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бществу в целом составляет</w:t>
      </w:r>
      <w:r w:rsidR="00BF6A13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9610AD" w:rsidRPr="00E86982">
        <w:rPr>
          <w:rFonts w:ascii="Times New Roman" w:hAnsi="Times New Roman"/>
          <w:b/>
          <w:bCs/>
          <w:sz w:val="20"/>
          <w:szCs w:val="20"/>
          <w:lang w:eastAsia="ru-RU"/>
        </w:rPr>
        <w:t>29384</w:t>
      </w:r>
      <w:r w:rsidRPr="00E8698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рубл</w:t>
      </w:r>
      <w:r w:rsidR="009610AD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я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F62030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3436D" w:rsidRPr="00E86982" w:rsidRDefault="0013436D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419A0" w:rsidRPr="00E86982" w:rsidRDefault="006419A0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419A0" w:rsidRPr="00E86982" w:rsidRDefault="006419A0" w:rsidP="006419A0">
      <w:pPr>
        <w:keepNext/>
        <w:keepLines/>
        <w:spacing w:after="3" w:line="240" w:lineRule="auto"/>
        <w:ind w:right="123"/>
        <w:contextualSpacing/>
        <w:jc w:val="center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Динамика финансового состояния Общества </w:t>
      </w:r>
      <w:r w:rsidR="0013436D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по годам.</w:t>
      </w:r>
    </w:p>
    <w:p w:rsidR="006419A0" w:rsidRPr="00E86982" w:rsidRDefault="006419A0" w:rsidP="006419A0">
      <w:pPr>
        <w:spacing w:line="259" w:lineRule="auto"/>
        <w:rPr>
          <w:rFonts w:ascii="Times New Roman" w:hAnsi="Times New Roman"/>
          <w:color w:val="000000"/>
          <w:lang w:eastAsia="ru-RU"/>
        </w:rPr>
      </w:pPr>
    </w:p>
    <w:p w:rsidR="00826503" w:rsidRPr="00E86982" w:rsidRDefault="0013436D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E86982">
        <w:rPr>
          <w:noProof/>
          <w:lang w:eastAsia="ru-RU"/>
        </w:rPr>
        <w:drawing>
          <wp:inline distT="0" distB="0" distL="0" distR="0">
            <wp:extent cx="6298565" cy="33753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3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A0" w:rsidRPr="00E86982" w:rsidRDefault="0013436D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242570</wp:posOffset>
            </wp:positionV>
            <wp:extent cx="6437630" cy="44075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9A0" w:rsidRPr="00E86982" w:rsidRDefault="006419A0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6419A0" w:rsidRPr="00E86982" w:rsidRDefault="006419A0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6419A0" w:rsidRPr="00E86982" w:rsidRDefault="006419A0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6419A0" w:rsidRPr="00E86982" w:rsidRDefault="006419A0" w:rsidP="006B0872">
      <w:pPr>
        <w:spacing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13436D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3612515</wp:posOffset>
            </wp:positionV>
            <wp:extent cx="6438900" cy="24003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82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-6985</wp:posOffset>
            </wp:positionV>
            <wp:extent cx="6438900" cy="3429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503" w:rsidRPr="00E86982" w:rsidRDefault="003A4B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E86982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183515</wp:posOffset>
            </wp:positionH>
            <wp:positionV relativeFrom="page">
              <wp:posOffset>6842760</wp:posOffset>
            </wp:positionV>
            <wp:extent cx="6393180" cy="332549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32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826503" w:rsidRPr="00E86982" w:rsidRDefault="00826503" w:rsidP="00561AE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C34AC0" w:rsidRPr="00E86982" w:rsidRDefault="00BB1581" w:rsidP="00B05A28">
      <w:pPr>
        <w:spacing w:after="18" w:line="240" w:lineRule="auto"/>
        <w:ind w:right="113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Рентабельность работы Общества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B3F17" w:rsidRPr="00E86982" w:rsidRDefault="005027E8" w:rsidP="00C34AC0">
      <w:pPr>
        <w:spacing w:after="18" w:line="240" w:lineRule="auto"/>
        <w:ind w:right="113"/>
        <w:contextualSpacing/>
        <w:rPr>
          <w:noProof/>
          <w:lang w:eastAsia="ru-RU"/>
        </w:rPr>
      </w:pPr>
      <w:r w:rsidRPr="00E86982">
        <w:rPr>
          <w:noProof/>
          <w:lang w:eastAsia="ru-RU"/>
        </w:rPr>
        <w:drawing>
          <wp:inline distT="0" distB="0" distL="0" distR="0">
            <wp:extent cx="5935980" cy="2895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E8" w:rsidRPr="00E86982" w:rsidRDefault="005027E8" w:rsidP="00C34AC0">
      <w:pPr>
        <w:spacing w:after="18" w:line="240" w:lineRule="auto"/>
        <w:ind w:right="113"/>
        <w:contextualSpacing/>
        <w:rPr>
          <w:noProof/>
          <w:lang w:eastAsia="ru-RU"/>
        </w:rPr>
      </w:pPr>
    </w:p>
    <w:p w:rsidR="005027E8" w:rsidRPr="00E86982" w:rsidRDefault="005027E8" w:rsidP="00C34AC0">
      <w:pPr>
        <w:spacing w:after="18" w:line="240" w:lineRule="auto"/>
        <w:ind w:right="113"/>
        <w:contextualSpacing/>
        <w:rPr>
          <w:rFonts w:ascii="Times New Roman" w:hAnsi="Times New Roman"/>
          <w:color w:val="000000"/>
          <w:lang w:eastAsia="ru-RU"/>
        </w:rPr>
      </w:pPr>
      <w:r w:rsidRPr="00E86982">
        <w:rPr>
          <w:noProof/>
          <w:lang w:eastAsia="ru-RU"/>
        </w:rPr>
        <w:drawing>
          <wp:inline distT="0" distB="0" distL="0" distR="0">
            <wp:extent cx="4396740" cy="30251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C0" w:rsidRPr="00E86982" w:rsidRDefault="00C34AC0" w:rsidP="00C57D72">
      <w:pPr>
        <w:spacing w:after="18" w:line="240" w:lineRule="auto"/>
        <w:ind w:right="113"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08393B" w:rsidRPr="00E86982" w:rsidRDefault="0008393B" w:rsidP="00C57D72">
      <w:pPr>
        <w:spacing w:after="18" w:line="240" w:lineRule="auto"/>
        <w:ind w:right="113"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454A8E" w:rsidRPr="00E86982" w:rsidRDefault="00D45222" w:rsidP="005027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Дебиторская задолженность по результатам отчетного года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составила</w:t>
      </w:r>
      <w:r w:rsidR="00B97901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183E28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  <w:r w:rsidR="000D53C6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21</w:t>
      </w:r>
      <w:r w:rsidR="006B3F17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  <w:r w:rsidR="000D53C6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184</w:t>
      </w:r>
      <w:r w:rsidR="006B3F17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тыс.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рублей</w:t>
      </w:r>
      <w:r w:rsidR="005027E8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По сравнению с 20</w:t>
      </w:r>
      <w:r w:rsidR="00F47B29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CA72F3" w:rsidRPr="00E86982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годом дебиторская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задолженность</w:t>
      </w:r>
      <w:r w:rsidR="00677403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47B29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увеличилась</w:t>
      </w:r>
      <w:r w:rsidR="00B97901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</w:t>
      </w:r>
      <w:r w:rsidR="000D53C6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7 364</w:t>
      </w:r>
      <w:r w:rsidR="00677403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тыс. рублей.</w:t>
      </w:r>
    </w:p>
    <w:p w:rsidR="00C43F4D" w:rsidRPr="00E86982" w:rsidRDefault="00444189" w:rsidP="005027E8">
      <w:pPr>
        <w:spacing w:after="18" w:line="240" w:lineRule="auto"/>
        <w:ind w:right="113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Кредиторская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адолженность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по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итогам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отчетного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года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составила</w:t>
      </w:r>
      <w:r w:rsidR="00183E28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B3F17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="006B3F17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5027E8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287</w:t>
      </w:r>
      <w:r w:rsidR="00F66194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тыс.</w:t>
      </w:r>
      <w:r w:rsidR="00AC525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ублей</w:t>
      </w:r>
      <w:r w:rsidR="00F657A1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47B29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По сравнению с 202</w:t>
      </w:r>
      <w:r w:rsidR="00CA72F3" w:rsidRPr="00E86982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годом кредиторская задолженность </w:t>
      </w:r>
      <w:r w:rsidR="00677403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="00F66194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меньшилась</w:t>
      </w:r>
      <w:r w:rsidR="00C43F4D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4522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r w:rsidR="00F47B2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5027E8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603</w:t>
      </w:r>
      <w:r w:rsidR="006B3F17" w:rsidRPr="00E869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тыс. рублей. </w:t>
      </w:r>
      <w:r w:rsidR="00F07201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4189" w:rsidRPr="00E86982" w:rsidRDefault="00444189" w:rsidP="005027E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Кредиторск</w:t>
      </w:r>
      <w:r w:rsidR="003252F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ой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7942FF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задолженност</w:t>
      </w:r>
      <w:r w:rsidR="003252F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истекшим сроком исковой </w:t>
      </w:r>
      <w:r w:rsidR="00D4522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давности нет</w:t>
      </w:r>
      <w:r w:rsidR="003252F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A37D24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Совет директоров </w:t>
      </w:r>
      <w:r w:rsidR="0075093F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бщества осуществлял свою деятельность в соответствии с требованиями законодательства Р</w:t>
      </w:r>
      <w:r w:rsidR="00ED136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оссийской Федерации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, регламентирующего деятельность акционерных обществ, включая Федеральный закон</w:t>
      </w:r>
      <w:r w:rsidR="00ED1360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 26.12.195 № 208-ФЗ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60BD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Об акционерных обществах</w:t>
      </w:r>
      <w:r w:rsidR="00660BD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"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, Устав</w:t>
      </w:r>
      <w:r w:rsidR="0075093F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D136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бщества</w:t>
      </w:r>
      <w:r w:rsidR="00A37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D1360" w:rsidRPr="00E86982" w:rsidRDefault="00ED1360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iCs/>
          <w:sz w:val="20"/>
          <w:szCs w:val="20"/>
        </w:rPr>
        <w:t xml:space="preserve">Совет директоров Общества, осуществляя общее руководство деятельностью Общества, определяет стратегический курс развития Общества, включая определение приоритетных направлений деятельности Общества, обеспечивает контроль за его финансово-хозяйственной деятельностью. Заседания Совета директоров Общества по вопросам, отнесенным к его компетенции Федеральным законом </w:t>
      </w:r>
      <w:r w:rsidRPr="00E86982">
        <w:rPr>
          <w:rFonts w:ascii="Times New Roman" w:hAnsi="Times New Roman"/>
          <w:sz w:val="20"/>
          <w:szCs w:val="20"/>
        </w:rPr>
        <w:t xml:space="preserve">от 26.12.1995 № 208-ФЗ </w:t>
      </w:r>
      <w:r w:rsidR="00660BDE" w:rsidRPr="00E86982">
        <w:rPr>
          <w:rFonts w:ascii="Times New Roman" w:hAnsi="Times New Roman"/>
          <w:iCs/>
          <w:sz w:val="20"/>
          <w:szCs w:val="20"/>
        </w:rPr>
        <w:t>"</w:t>
      </w:r>
      <w:r w:rsidRPr="00E86982">
        <w:rPr>
          <w:rFonts w:ascii="Times New Roman" w:hAnsi="Times New Roman"/>
          <w:iCs/>
          <w:sz w:val="20"/>
          <w:szCs w:val="20"/>
        </w:rPr>
        <w:t>Об акционерных обществах</w:t>
      </w:r>
      <w:r w:rsidR="00660BDE" w:rsidRPr="00E86982">
        <w:rPr>
          <w:rFonts w:ascii="Times New Roman" w:hAnsi="Times New Roman"/>
          <w:iCs/>
          <w:sz w:val="20"/>
          <w:szCs w:val="20"/>
        </w:rPr>
        <w:t>"</w:t>
      </w:r>
      <w:r w:rsidRPr="00E86982">
        <w:rPr>
          <w:rFonts w:ascii="Times New Roman" w:hAnsi="Times New Roman"/>
          <w:iCs/>
          <w:sz w:val="20"/>
          <w:szCs w:val="20"/>
        </w:rPr>
        <w:t xml:space="preserve"> и Уставом Общества, проводились на регулярной основе с активным участием всех членов Совета директоров Общества.</w:t>
      </w:r>
    </w:p>
    <w:p w:rsidR="00444189" w:rsidRPr="00E86982" w:rsidRDefault="00444189" w:rsidP="00C57D72">
      <w:pPr>
        <w:spacing w:after="3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44189" w:rsidRPr="00E86982" w:rsidRDefault="00444189" w:rsidP="00673E53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Отчет о выплате объявленных (начисленных) дивидендов по акциям акционерного общества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Дивиденды по акциям Общества в </w:t>
      </w:r>
      <w:r w:rsidR="000C7A20" w:rsidRPr="00E86982">
        <w:rPr>
          <w:rFonts w:ascii="Times New Roman" w:hAnsi="Times New Roman"/>
          <w:color w:val="000000"/>
          <w:sz w:val="20"/>
          <w:szCs w:val="20"/>
          <w:lang w:eastAsia="ru-RU"/>
        </w:rPr>
        <w:t>202</w:t>
      </w:r>
      <w:r w:rsidR="00A37D24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году не объявлялись (не начислялись) и не выплачивались.  </w:t>
      </w:r>
    </w:p>
    <w:p w:rsidR="006065BE" w:rsidRPr="00E86982" w:rsidRDefault="006065BE" w:rsidP="00A3233E">
      <w:pPr>
        <w:spacing w:after="33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9B4AC8" w:rsidRPr="00E86982" w:rsidRDefault="00444189" w:rsidP="00673E53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  <w:t>Описание основных факторов риска, связанных с деятельностью акционерного общества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Отраслевые риски.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Риски находятся в диапазоне, характерном для большинства организаций, использующих принадлежащее им недвижимое имущество для сдачи в аренду. Существенное влияние на хозяйственную деятельность </w:t>
      </w:r>
      <w:r w:rsidR="0036413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может оказать повышение тарифов на энергоносители и коммунальные услуги (тепло-, </w:t>
      </w:r>
      <w:r w:rsidR="00D4522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водоснабжение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т.д.), увеличение платы за землю. Отмечается устойчивая тенденция по сокращению объема арендуемых площадей, достаточно высокого уровня количества предложений по предоставлению недвижимого имущества в аренду, и, как следствие, к обострению конкуренции на рынке данного вида услуг.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Проявление отраслевых рисков в деятельности </w:t>
      </w:r>
      <w:r w:rsidR="009B4AC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находятся под контролем руководства </w:t>
      </w:r>
      <w:r w:rsidR="009B4AC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бщества. В целях снижения последствий данных рисков </w:t>
      </w:r>
      <w:r w:rsidR="009B4AC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бщество проводит постоянную работу по совершенствованию управления комплексом недвижимого имущества, повышению качества оказываемых услуг, оптимизации издержек, проведению маркетинговых исследований. Не исключается возможная необходимость </w:t>
      </w:r>
      <w:r w:rsidR="009B4AC8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корректировки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размера арендной платы в целях сохранения конкурентоспособности на рынке недвижимости.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Страновые и региональные риски.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данной категории рисков можно отнести: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экологический риск;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политический риск;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демографический риск;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социальный риск;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риск изменения макроэкономической ситуации.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Владимирская область, на территории которой эмитент зарегистрирован в качестве налогоплательщика и осуществляет основную деятельность, входит в Центральный федеральный округ Российской Федерации (ЦФО РФ) – важнейший политический, административный и экологический регион России, который мало подвержен воздействию геополитических рисков.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Резкие изменения регионального масштаба (экологические, политические, демографические, социальные) маловероятны, но их возникновение, безусло</w:t>
      </w:r>
      <w:r w:rsidR="00B178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вно, отразится на деятельности 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бщества. Вместе с тем </w:t>
      </w:r>
      <w:r w:rsidR="00A37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достаточная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устойчивость макроэкономической и политической ситуации в Российской Федерации обеспечивают низкий уровень соответствующих рисков для деятельности экономических субъектов на территории Российско</w:t>
      </w:r>
      <w:r w:rsidR="00B178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й Федерации, в частности и для 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бщества.  </w:t>
      </w:r>
    </w:p>
    <w:p w:rsidR="006065BE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Все возможные страновые риски, которые могут кардинал</w:t>
      </w:r>
      <w:r w:rsidR="00B178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ьно отразиться на деятельности 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бщества и её результатах, носят форс-мажорный характер</w:t>
      </w:r>
      <w:r w:rsidR="006065BE" w:rsidRPr="00E8698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точки зрения возможности проведения превентивных мероприятий опасные природные процессы, как источники чрезвычайных ситуаций, могут прогнозироваться с небольшой заблаговременностью.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Финансовые риски.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отношении колебаний валютного курса можно отметить, что они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оказывают влияние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прежде всего, на экономику России в целом, а значит косвенно и на деятельность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бщества. Риск от изменения курсов иностранных валют (валютный риск) окажет минимальное влияние на </w:t>
      </w:r>
      <w:r w:rsidR="00D45222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финансово-хозяйственную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деятельность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т.к.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бщество не осуществляет экспортную деятельность. </w:t>
      </w:r>
    </w:p>
    <w:p w:rsidR="007D447C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Изменения банковских процентных ставок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может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отраз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иться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финансово-хозяйственной деятельности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поскольку оно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 исключает использования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 своей деятельности заемны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х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средств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, а также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получение кредитных средств в будущем.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результате влияния указанных финансовых рисков наиболее подвержены изменению следующие показатели финансовой отчетности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бщества: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кредиторская задолженность (увеличение сроков оборачиваемости);  </w:t>
      </w:r>
    </w:p>
    <w:p w:rsidR="00444189" w:rsidRPr="00E86982" w:rsidRDefault="00786335" w:rsidP="00786335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44189"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прибыль от основной деятельности (сокращение). 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Нельзя не принимать в расчет возможность изменения конъюнктуры финансового рынка под воздействием государственного регулирования, рост или снижение предложения свободных денежных ресурсов и другие факторы. В этом случае отрицательные финансовые последствия этого вида рисков проявятся в эмиссионной деятельности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в его дивидендной политике. 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 исключается вероятность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снижения рыночной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стоимости основных средств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его капитала в форме его финансовых активов, а также ожидаемых доходов от осуществления финансовых операций в условиях инфляции.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точки зрения финансовых результатов деятельности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бщества, влияние фактора инфляции неоднозначно. С одной стороны, текущие уровни инфляции не создают значит</w:t>
      </w:r>
      <w:r w:rsidR="00977E7A">
        <w:rPr>
          <w:rFonts w:ascii="Times New Roman" w:hAnsi="Times New Roman"/>
          <w:color w:val="000000"/>
          <w:sz w:val="20"/>
          <w:szCs w:val="20"/>
          <w:lang w:eastAsia="ru-RU"/>
        </w:rPr>
        <w:t>ельных рисков для деятельности 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бщества. С другой стороны, увеличение темпов роста цен может привести к росту затрат, стоимости заемных средств и стать причиной снижения показателей рентабельности. Кроме того, увеличение темпов инфляции может привести к снижению покупательной способности населения.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Нивелирование финансовых рисков, включая инфляционное воздействие, обеспечивается благодаря эффективному использованию денежных средств, что не допускает создания больших объемов временно свободных денежных средств и обеспечивает возможность проведения переоценк</w:t>
      </w:r>
      <w:r w:rsidR="00786335">
        <w:rPr>
          <w:rFonts w:ascii="Times New Roman" w:hAnsi="Times New Roman"/>
          <w:color w:val="000000"/>
          <w:sz w:val="20"/>
          <w:szCs w:val="20"/>
          <w:lang w:eastAsia="ru-RU"/>
        </w:rPr>
        <w:t>и активов в случае необходимости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целях минимизации финансовых рисков, в т.ч. связанных с инфляционными процессами,  оказывающими влияние на финансовые результаты деятельности,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бществом проводится комплексная программа мероприятий по анализу финансовых рисков, планированию и оценке фактически сложившейся прибыльности 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работы, определяются показатели рентабельности, свидетельствующие об уровне доходности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нормативные значения финансовых коэффициентов, характеризующих платежеспособность и ликвидность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что дает возможность оперативно выявлять недостатки в работе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и принимать меры для их ликвидации.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Правовые риски. </w:t>
      </w:r>
    </w:p>
    <w:p w:rsidR="007D447C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Уровни и вероятность наступления правовых рисков в отношении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не носят специфический характер и не превышают уровней таких рисков в целом по отрасли. В случае внесения изменений в действующие порядок и условия налогообложения, </w:t>
      </w:r>
      <w:r w:rsidR="007D447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бщество намерено планировать свою финансово-хозяйственную деятельность с учетом этих изменений.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Риски, связанные с деятельностью </w:t>
      </w:r>
      <w:r w:rsidR="007D447C"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бщества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Общество участвует в судебных процессах как в качестве истца, так и в качестве ответчика по делам, связанным с осуществлением обычной производственно-хозяйственной деятельности. Вместе с тем существенные правовые риски, которые могут возникнуть в связи с судебными процессами и способные существенно повлиять на финансово-хозяйственную деятельность </w:t>
      </w:r>
      <w:r w:rsidR="007119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отсутствуют. </w:t>
      </w:r>
    </w:p>
    <w:p w:rsidR="00444189" w:rsidRPr="00E86982" w:rsidRDefault="00444189" w:rsidP="004327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случае предоставления на возмездной основе недвижимого имущества, являющегося собственностью </w:t>
      </w:r>
      <w:r w:rsidR="007119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бщества, в залог по обязательствам третьих лиц, не исключается возникновение рисков, связанных с возможной ответственностью </w:t>
      </w:r>
      <w:r w:rsidR="007119FC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по долгам третьих лиц. При принятии возможных подобных решений, включая залог и поручительство, финансовое положение третьих лиц подлежит тщательной и детальной проверке. </w:t>
      </w:r>
    </w:p>
    <w:p w:rsidR="00294F35" w:rsidRPr="00E86982" w:rsidRDefault="00294F35" w:rsidP="00C57D72">
      <w:pPr>
        <w:spacing w:after="5" w:line="240" w:lineRule="auto"/>
        <w:ind w:right="113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19FC" w:rsidRPr="00E86982" w:rsidRDefault="007119FC" w:rsidP="007119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86982">
        <w:rPr>
          <w:rFonts w:ascii="Times New Roman" w:hAnsi="Times New Roman"/>
          <w:b/>
          <w:sz w:val="18"/>
          <w:szCs w:val="18"/>
          <w:u w:val="single"/>
        </w:rPr>
        <w:t xml:space="preserve">Перечень совершенных акционерным обществом в отчетном году сделок, признаваемых в соответствии с Федеральным законом от 26.12.1995 № 208-ФЗ </w:t>
      </w:r>
      <w:r w:rsidR="00660BDE" w:rsidRPr="00E86982">
        <w:rPr>
          <w:rFonts w:ascii="Times New Roman" w:hAnsi="Times New Roman"/>
          <w:b/>
          <w:sz w:val="18"/>
          <w:szCs w:val="18"/>
          <w:u w:val="single"/>
        </w:rPr>
        <w:t>"</w:t>
      </w:r>
      <w:r w:rsidRPr="00E86982">
        <w:rPr>
          <w:rFonts w:ascii="Times New Roman" w:hAnsi="Times New Roman"/>
          <w:b/>
          <w:sz w:val="18"/>
          <w:szCs w:val="18"/>
          <w:u w:val="single"/>
        </w:rPr>
        <w:t>Об акционерных обществах</w:t>
      </w:r>
      <w:r w:rsidR="00660BDE" w:rsidRPr="00E86982">
        <w:rPr>
          <w:rFonts w:ascii="Times New Roman" w:hAnsi="Times New Roman"/>
          <w:b/>
          <w:sz w:val="18"/>
          <w:szCs w:val="18"/>
          <w:u w:val="single"/>
        </w:rPr>
        <w:t>"</w:t>
      </w:r>
      <w:r w:rsidRPr="00E86982">
        <w:rPr>
          <w:rFonts w:ascii="Times New Roman" w:hAnsi="Times New Roman"/>
          <w:b/>
          <w:sz w:val="18"/>
          <w:szCs w:val="18"/>
          <w:u w:val="single"/>
        </w:rPr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одобрении.</w:t>
      </w:r>
    </w:p>
    <w:p w:rsidR="007119FC" w:rsidRPr="00E86982" w:rsidRDefault="007119FC" w:rsidP="007119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6982">
        <w:rPr>
          <w:rFonts w:ascii="Times New Roman" w:hAnsi="Times New Roman"/>
          <w:sz w:val="20"/>
          <w:szCs w:val="20"/>
        </w:rPr>
        <w:t xml:space="preserve">В отчетном году Общество не совершало сделок, признаваемых в соответствии с Федеральным законом от 26.12.1995 № 208-ФЗ </w:t>
      </w:r>
      <w:r w:rsidR="00660BDE" w:rsidRPr="00E86982">
        <w:rPr>
          <w:rFonts w:ascii="Times New Roman" w:hAnsi="Times New Roman"/>
          <w:sz w:val="20"/>
          <w:szCs w:val="20"/>
        </w:rPr>
        <w:t>"</w:t>
      </w:r>
      <w:r w:rsidRPr="00E86982">
        <w:rPr>
          <w:rFonts w:ascii="Times New Roman" w:hAnsi="Times New Roman"/>
          <w:sz w:val="20"/>
          <w:szCs w:val="20"/>
        </w:rPr>
        <w:t>Об акционерных обществах</w:t>
      </w:r>
      <w:r w:rsidR="00660BDE" w:rsidRPr="00E86982">
        <w:rPr>
          <w:rFonts w:ascii="Times New Roman" w:hAnsi="Times New Roman"/>
          <w:sz w:val="20"/>
          <w:szCs w:val="20"/>
        </w:rPr>
        <w:t>"</w:t>
      </w:r>
      <w:r w:rsidRPr="00E86982">
        <w:rPr>
          <w:rFonts w:ascii="Times New Roman" w:hAnsi="Times New Roman"/>
          <w:sz w:val="20"/>
          <w:szCs w:val="20"/>
        </w:rPr>
        <w:t xml:space="preserve"> крупными сделками.</w:t>
      </w:r>
    </w:p>
    <w:p w:rsidR="007119FC" w:rsidRPr="00E86982" w:rsidRDefault="007119FC" w:rsidP="007119F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7119FC" w:rsidRPr="00E86982" w:rsidRDefault="007119FC" w:rsidP="007119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E86982">
        <w:rPr>
          <w:rFonts w:ascii="Times New Roman" w:hAnsi="Times New Roman"/>
          <w:b/>
          <w:bCs/>
          <w:sz w:val="18"/>
          <w:szCs w:val="18"/>
          <w:u w:val="single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r w:rsidRPr="00E86982">
        <w:rPr>
          <w:rFonts w:ascii="Times New Roman" w:hAnsi="Times New Roman"/>
          <w:b/>
          <w:sz w:val="18"/>
          <w:szCs w:val="18"/>
          <w:u w:val="single"/>
        </w:rPr>
        <w:t xml:space="preserve">законом от 26.12.1995 № 208-ФЗ </w:t>
      </w:r>
      <w:r w:rsidR="00660BDE" w:rsidRPr="00E86982">
        <w:rPr>
          <w:rFonts w:ascii="Times New Roman" w:hAnsi="Times New Roman"/>
          <w:b/>
          <w:sz w:val="18"/>
          <w:szCs w:val="18"/>
          <w:u w:val="single"/>
        </w:rPr>
        <w:t>"</w:t>
      </w:r>
      <w:r w:rsidRPr="00E86982">
        <w:rPr>
          <w:rFonts w:ascii="Times New Roman" w:hAnsi="Times New Roman"/>
          <w:b/>
          <w:sz w:val="18"/>
          <w:szCs w:val="18"/>
          <w:u w:val="single"/>
        </w:rPr>
        <w:t>Об акционерных обществах</w:t>
      </w:r>
      <w:r w:rsidR="00660BDE" w:rsidRPr="00E86982">
        <w:rPr>
          <w:rFonts w:ascii="Times New Roman" w:hAnsi="Times New Roman"/>
          <w:b/>
          <w:sz w:val="18"/>
          <w:szCs w:val="18"/>
          <w:u w:val="single"/>
        </w:rPr>
        <w:t>"</w:t>
      </w:r>
      <w:r w:rsidRPr="00E86982">
        <w:rPr>
          <w:rFonts w:ascii="Times New Roman" w:hAnsi="Times New Roman"/>
          <w:b/>
          <w:bCs/>
          <w:sz w:val="18"/>
          <w:szCs w:val="18"/>
          <w:u w:val="single"/>
        </w:rPr>
        <w:t xml:space="preserve">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</w:t>
      </w:r>
    </w:p>
    <w:p w:rsidR="007119FC" w:rsidRPr="00E86982" w:rsidRDefault="007119FC" w:rsidP="007119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86982">
        <w:rPr>
          <w:rFonts w:ascii="Times New Roman" w:hAnsi="Times New Roman"/>
          <w:color w:val="000000"/>
          <w:sz w:val="20"/>
          <w:szCs w:val="20"/>
        </w:rPr>
        <w:t xml:space="preserve">В отчетном году Общество не совершало сделок, признаваемых в соответствии с Федеральным законом </w:t>
      </w:r>
      <w:r w:rsidRPr="00E86982">
        <w:rPr>
          <w:rFonts w:ascii="Times New Roman" w:hAnsi="Times New Roman"/>
          <w:sz w:val="20"/>
          <w:szCs w:val="20"/>
        </w:rPr>
        <w:t xml:space="preserve">от 26.12.1995 № 208-ФЗ </w:t>
      </w:r>
      <w:r w:rsidR="00660BDE" w:rsidRPr="00E86982">
        <w:rPr>
          <w:rFonts w:ascii="Times New Roman" w:hAnsi="Times New Roman"/>
          <w:color w:val="000000"/>
          <w:sz w:val="20"/>
          <w:szCs w:val="20"/>
        </w:rPr>
        <w:t>"</w:t>
      </w:r>
      <w:r w:rsidRPr="00E86982">
        <w:rPr>
          <w:rFonts w:ascii="Times New Roman" w:hAnsi="Times New Roman"/>
          <w:color w:val="000000"/>
          <w:sz w:val="20"/>
          <w:szCs w:val="20"/>
        </w:rPr>
        <w:t>Об акционерных обществах</w:t>
      </w:r>
      <w:r w:rsidR="00660BDE" w:rsidRPr="00E86982">
        <w:rPr>
          <w:rFonts w:ascii="Times New Roman" w:hAnsi="Times New Roman"/>
          <w:color w:val="000000"/>
          <w:sz w:val="20"/>
          <w:szCs w:val="20"/>
        </w:rPr>
        <w:t>"</w:t>
      </w:r>
      <w:r w:rsidRPr="00E86982">
        <w:rPr>
          <w:rFonts w:ascii="Times New Roman" w:hAnsi="Times New Roman"/>
          <w:color w:val="000000"/>
          <w:sz w:val="20"/>
          <w:szCs w:val="20"/>
        </w:rPr>
        <w:t xml:space="preserve"> сделками, в совершении которых имелась заинтересованность.</w:t>
      </w:r>
    </w:p>
    <w:p w:rsidR="008926CB" w:rsidRPr="00E86982" w:rsidRDefault="008926CB" w:rsidP="007119FC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 w:color="000000"/>
          <w:lang w:eastAsia="ru-RU"/>
        </w:rPr>
      </w:pPr>
    </w:p>
    <w:p w:rsidR="00444189" w:rsidRPr="00E86982" w:rsidRDefault="00444189" w:rsidP="004327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>Состав совета директоров акционерного общества, включая информацию об изменениях в составе совета директоров акционерного общества, имевших место в отчетном году, и сведения о членах совета директоров акционерного общества, в том числе их краткие биографические</w:t>
      </w:r>
      <w:r w:rsidR="00432728"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 xml:space="preserve"> </w:t>
      </w:r>
      <w:r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>данные, доля их участия в уставном капитале акционерного общества и доля принадлежащих им обыкновенных акций акционерного общества, а в случае если в течение отчетного года имели место совершенные членами совета директоров сделки по приобретению или отчуждению акций акционерного общества - также сведения о таких сделках с указанием по каждой сделке даты ее совершения, содержания сделки, категорий (типа) и количества акций акционерного общества, являвшихся предметом сделки</w:t>
      </w:r>
    </w:p>
    <w:p w:rsidR="00F809E3" w:rsidRPr="00E86982" w:rsidRDefault="007119FC" w:rsidP="00673E53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</w:t>
      </w:r>
      <w:r w:rsidR="00F809E3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пунктом 11.7. Устава Общества к</w:t>
      </w:r>
      <w:r w:rsidR="00F809E3" w:rsidRPr="00E86982">
        <w:rPr>
          <w:rFonts w:ascii="Times New Roman" w:hAnsi="Times New Roman"/>
          <w:sz w:val="20"/>
          <w:szCs w:val="20"/>
        </w:rPr>
        <w:t>оличественный состав Совета директоров определен в 5 (Пять) членов.</w:t>
      </w:r>
    </w:p>
    <w:p w:rsidR="009A04A1" w:rsidRPr="00E86982" w:rsidRDefault="005907C6" w:rsidP="00673E53">
      <w:pPr>
        <w:pStyle w:val="a8"/>
        <w:snapToGrid w:val="0"/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86982">
        <w:rPr>
          <w:rFonts w:ascii="Times New Roman" w:hAnsi="Times New Roman"/>
          <w:color w:val="000000"/>
          <w:szCs w:val="20"/>
        </w:rPr>
        <w:t>Председатель Совета директоров Общества: Беляков Игорь Геннадьевич.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411"/>
        <w:gridCol w:w="3686"/>
        <w:gridCol w:w="1559"/>
        <w:gridCol w:w="1721"/>
      </w:tblGrid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Фамилия, имя, отчество, краткие биографические данные (год рождения/ сведения об образовании)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Доля участив в уставном капитале Общества*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69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Доля принадлежащих обыкновенных акций Общества*</w:t>
            </w:r>
          </w:p>
        </w:tc>
      </w:tr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Беляков Игорь Геннадьевич</w:t>
            </w:r>
          </w:p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1966г. 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ООО "ИК "Благовест"</w:t>
            </w:r>
          </w:p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Генеральный директор</w:t>
            </w: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</w:tr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Казаков Сергей Александрович</w:t>
            </w:r>
          </w:p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1957г. 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АО "Владимирагроторг"</w:t>
            </w:r>
          </w:p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Генеральный директор</w:t>
            </w: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</w:tr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Мельников Павел Алексеевич</w:t>
            </w:r>
          </w:p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1986г. 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9A04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982">
              <w:rPr>
                <w:rFonts w:ascii="Times New Roman" w:hAnsi="Times New Roman"/>
                <w:sz w:val="20"/>
                <w:szCs w:val="20"/>
              </w:rPr>
              <w:t xml:space="preserve">ПАО ВЗПО "Техника" </w:t>
            </w:r>
          </w:p>
          <w:p w:rsidR="009A04A1" w:rsidRPr="00E86982" w:rsidRDefault="009A04A1" w:rsidP="009A04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982">
              <w:rPr>
                <w:rFonts w:ascii="Times New Roman" w:hAnsi="Times New Roman"/>
                <w:sz w:val="20"/>
                <w:szCs w:val="20"/>
              </w:rPr>
              <w:t>Исполнительный директор</w:t>
            </w:r>
          </w:p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</w:tr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Федоров Андрей Геннадьевич</w:t>
            </w:r>
          </w:p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1980г. 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ПАО ВЗПО "Техника"</w:t>
            </w:r>
          </w:p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</w:rPr>
              <w:t>Директор по управлению недвижимостью</w:t>
            </w: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</w:tr>
      <w:tr w:rsidR="009A04A1" w:rsidRPr="00E86982" w:rsidTr="00CD6C8A">
        <w:tc>
          <w:tcPr>
            <w:tcW w:w="532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Хромушин Сергей Владимирович</w:t>
            </w:r>
          </w:p>
          <w:p w:rsidR="009A04A1" w:rsidRPr="00786335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1967г./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ООО "ИК "Благовест"</w:t>
            </w:r>
          </w:p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Заместитель генерального директора</w:t>
            </w:r>
          </w:p>
        </w:tc>
        <w:tc>
          <w:tcPr>
            <w:tcW w:w="1559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  <w:tc>
          <w:tcPr>
            <w:tcW w:w="1721" w:type="dxa"/>
            <w:shd w:val="clear" w:color="auto" w:fill="auto"/>
          </w:tcPr>
          <w:p w:rsidR="009A04A1" w:rsidRPr="00E86982" w:rsidRDefault="009A04A1" w:rsidP="00CD6C8A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86982">
              <w:rPr>
                <w:rFonts w:ascii="Times New Roman" w:hAnsi="Times New Roman"/>
                <w:color w:val="000000"/>
                <w:szCs w:val="20"/>
              </w:rPr>
              <w:t>Отсутствует</w:t>
            </w:r>
          </w:p>
        </w:tc>
      </w:tr>
    </w:tbl>
    <w:p w:rsidR="00244555" w:rsidRPr="00E86982" w:rsidRDefault="00444189" w:rsidP="00244555">
      <w:pPr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86982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 xml:space="preserve">*Сведения о владении членами Совета директоров обыкновенными акциями Общества предоставлены на основании информации, содержащейся в реестре акционеров.   </w:t>
      </w:r>
    </w:p>
    <w:p w:rsidR="00977E7A" w:rsidRDefault="00977E7A" w:rsidP="0024455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4555" w:rsidRPr="00E86982" w:rsidRDefault="00244555" w:rsidP="0024455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Состав Совета директор Общества в отчетном году не менялся.</w:t>
      </w:r>
    </w:p>
    <w:p w:rsidR="00444189" w:rsidRDefault="00444189" w:rsidP="0024455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 отчетном периоде членами Совета директоров сдел</w:t>
      </w:r>
      <w:r w:rsidR="00244555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ки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приобретению или отчуждению акций Общества не </w:t>
      </w:r>
      <w:r w:rsidR="00244555" w:rsidRPr="00E86982">
        <w:rPr>
          <w:rFonts w:ascii="Times New Roman" w:hAnsi="Times New Roman"/>
          <w:color w:val="000000"/>
          <w:sz w:val="20"/>
          <w:szCs w:val="20"/>
          <w:lang w:eastAsia="ru-RU"/>
        </w:rPr>
        <w:t>совершались.</w:t>
      </w:r>
    </w:p>
    <w:p w:rsidR="00786335" w:rsidRPr="00E86982" w:rsidRDefault="00786335" w:rsidP="0024455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A04A1" w:rsidRPr="00E86982" w:rsidRDefault="00444189" w:rsidP="0078633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>Сведения о лице, занимающем должность (осуществляющем функции) единоличного исполнительного органа (управляющем, управляющей организации) акционерного общества, и</w:t>
      </w:r>
      <w:r w:rsidR="009A04A1"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 xml:space="preserve"> </w:t>
      </w:r>
      <w:r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>членах коллегиального исполнительного органа акционерного общества, в том числе их краткие биографические данные, доля их участия в уставном капитале акционерного общества и доля принадлежащих им обыкновенных акций акционерного общества, а в случае если в течение отчетного года имели место совершенные лицом, занимающим должность (осуществляющим функции) единоличного исполнительного органа, и (или) членами коллегиального исполнительного органа сделки по приобретению или отчуждению акций акционерного общества,</w:t>
      </w:r>
      <w:r w:rsidR="009A04A1"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 xml:space="preserve"> </w:t>
      </w:r>
      <w:r w:rsidRPr="00E86982">
        <w:rPr>
          <w:rFonts w:ascii="Times New Roman" w:hAnsi="Times New Roman"/>
          <w:b/>
          <w:color w:val="000000"/>
          <w:sz w:val="18"/>
          <w:szCs w:val="18"/>
          <w:u w:val="single" w:color="000000"/>
          <w:lang w:eastAsia="ru-RU"/>
        </w:rPr>
        <w:t>- также сведения о таких сделках с указанием по каждой сделке даты ее совершения, содержания сделки, категории (типа) и количества акций акционерного общества, являвшихся предметом сделки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3686"/>
        <w:gridCol w:w="1559"/>
        <w:gridCol w:w="1947"/>
      </w:tblGrid>
      <w:tr w:rsidR="009A04A1" w:rsidRPr="00E86982" w:rsidTr="00CD6C8A">
        <w:tc>
          <w:tcPr>
            <w:tcW w:w="534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Фамилия, имя, отчество, краткие биографические данные (год рождения, сведения об образовании)</w:t>
            </w:r>
          </w:p>
        </w:tc>
        <w:tc>
          <w:tcPr>
            <w:tcW w:w="3686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559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Доля участив в уставном капитале Общества*</w:t>
            </w:r>
          </w:p>
        </w:tc>
        <w:tc>
          <w:tcPr>
            <w:tcW w:w="1947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Доля принадлежащих обыкновенных акций Общества*</w:t>
            </w:r>
          </w:p>
        </w:tc>
      </w:tr>
      <w:tr w:rsidR="009A04A1" w:rsidRPr="00E86982" w:rsidTr="00CD6C8A">
        <w:tc>
          <w:tcPr>
            <w:tcW w:w="534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Казаков Сергей Александрович</w:t>
            </w:r>
          </w:p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1957г. / Высшее</w:t>
            </w:r>
          </w:p>
        </w:tc>
        <w:tc>
          <w:tcPr>
            <w:tcW w:w="3686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АО "Владимирагроторг"</w:t>
            </w:r>
          </w:p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</w:t>
            </w:r>
          </w:p>
        </w:tc>
        <w:tc>
          <w:tcPr>
            <w:tcW w:w="1559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947" w:type="dxa"/>
            <w:shd w:val="clear" w:color="auto" w:fill="auto"/>
          </w:tcPr>
          <w:p w:rsidR="009A04A1" w:rsidRPr="00786335" w:rsidRDefault="009A04A1" w:rsidP="00786335">
            <w:pPr>
              <w:pStyle w:val="a8"/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335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</w:tbl>
    <w:p w:rsidR="00444189" w:rsidRPr="00E86982" w:rsidRDefault="00444189" w:rsidP="00786335">
      <w:pPr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86982">
        <w:rPr>
          <w:rFonts w:ascii="Times New Roman" w:hAnsi="Times New Roman"/>
          <w:color w:val="000000"/>
          <w:sz w:val="18"/>
          <w:szCs w:val="18"/>
          <w:lang w:eastAsia="ru-RU"/>
        </w:rPr>
        <w:t xml:space="preserve">*Сведения о владении лицом, занимающим должность единоличного исполнительного органа, обыкновенными акциями Общества предоставлены на основании информации, содержащейся в реестре акционеров.   </w:t>
      </w:r>
    </w:p>
    <w:p w:rsidR="00786335" w:rsidRDefault="00786335" w:rsidP="009A04A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A04A1" w:rsidRPr="00E86982" w:rsidRDefault="00444189" w:rsidP="009A04A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В течение отчетного года лиц</w:t>
      </w:r>
      <w:r w:rsidR="00244555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ом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>, занимающим должность единоличного исполнительного органа Общества, сделки по приобретению или отчуждению акций Общества не совершались.</w:t>
      </w:r>
    </w:p>
    <w:p w:rsidR="00786335" w:rsidRDefault="00444189" w:rsidP="0078633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Образование коллегиального исполнительного органа Уставом </w:t>
      </w:r>
      <w:r w:rsidR="00244555" w:rsidRPr="00E8698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E86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бщества не предусмотрено.  </w:t>
      </w:r>
    </w:p>
    <w:p w:rsidR="00786335" w:rsidRDefault="00786335" w:rsidP="0078633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44555" w:rsidRPr="00E86982" w:rsidRDefault="00244555" w:rsidP="0078633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E86982">
        <w:rPr>
          <w:rFonts w:ascii="Times New Roman" w:hAnsi="Times New Roman"/>
          <w:b/>
          <w:bCs/>
          <w:sz w:val="18"/>
          <w:szCs w:val="18"/>
          <w:u w:val="single"/>
        </w:rPr>
        <w:t>Основные положения политики акционерного общества в области вознаграждения и (или) компенсации расходов, а также сведения по каждому из органов управления акционерного общества (за исключением физического лица, занимавшего должность (осуществлявшего функции) единоличного исполнительного органа управления акционерного общества, если только таким лицом не являлся управляющий) с указанием размера всех видов вознаграждения, включая заработную плату членов органов управления акционерного общества, являвшихся его работниками, в том числе работавших по совместительству, премии, комиссионные, вознаграждения, отдельно выплаченные за участие в работе соответствующего органа управления, иные виды вознаграждения, которые были выплачены акционерным обществом в течение отчетного года, и с указанием размеров расходов, связанных с исполнением функций членов органов управления акционерного общества, компенсированных акционерным обществом в течение отчетного года.</w:t>
      </w:r>
    </w:p>
    <w:p w:rsidR="00244555" w:rsidRPr="00E86982" w:rsidRDefault="00244555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86982">
        <w:rPr>
          <w:rFonts w:ascii="Times New Roman" w:hAnsi="Times New Roman"/>
          <w:sz w:val="20"/>
          <w:szCs w:val="20"/>
        </w:rPr>
        <w:t>В соответствии с подпунктом 10.2.25. пункта 10.2. Устава Общества к компетенции общего собрания акционеров относится принятие решения о выплате вознаграждения и (или) компенсации расходов членам Совета директоров Общества, связанных с исполнением ими функций членов Совета директоров в период исполнения ими своих обязанностей; установление размеров таких вознаграждений и компенсаций, если данный вопрос не определен внутренним документом Общества, утвержденным общим собранием акционеров (Положением о Совете директоров Общества)</w:t>
      </w:r>
      <w:r w:rsidR="00E76186" w:rsidRPr="00E86982">
        <w:rPr>
          <w:rFonts w:ascii="Times New Roman" w:hAnsi="Times New Roman"/>
          <w:sz w:val="20"/>
          <w:szCs w:val="20"/>
        </w:rPr>
        <w:t>.</w:t>
      </w:r>
    </w:p>
    <w:p w:rsidR="00244555" w:rsidRPr="00E86982" w:rsidRDefault="00244555" w:rsidP="00244555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 xml:space="preserve">В течение отчетного года членам Совета директоров </w:t>
      </w:r>
      <w:r w:rsidR="00B178FC" w:rsidRPr="00E86982">
        <w:rPr>
          <w:rFonts w:ascii="Times New Roman" w:hAnsi="Times New Roman"/>
          <w:sz w:val="20"/>
          <w:szCs w:val="20"/>
        </w:rPr>
        <w:t xml:space="preserve">Общества </w:t>
      </w:r>
      <w:r w:rsidRPr="00E86982">
        <w:rPr>
          <w:rFonts w:ascii="Times New Roman" w:hAnsi="Times New Roman"/>
          <w:sz w:val="20"/>
          <w:szCs w:val="20"/>
        </w:rPr>
        <w:t>вознаграждение не выплачивалось.</w:t>
      </w:r>
    </w:p>
    <w:p w:rsidR="00977E7A" w:rsidRDefault="00977E7A" w:rsidP="00295F0E">
      <w:pPr>
        <w:pStyle w:val="a8"/>
        <w:snapToGrid w:val="0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</w:p>
    <w:p w:rsidR="00295F0E" w:rsidRPr="00E86982" w:rsidRDefault="00295F0E" w:rsidP="00295F0E">
      <w:pPr>
        <w:pStyle w:val="a8"/>
        <w:snapToGrid w:val="0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E86982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Сведения (отчет) о соблюдении акционерным обществом принципов и рекомендаций Кодекса корпоративного управления, рекомендованного к применению Банком России (далее – Кодекс корпоративного управления)</w:t>
      </w:r>
    </w:p>
    <w:p w:rsidR="00295F0E" w:rsidRPr="00E86982" w:rsidRDefault="00295F0E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>Основными целями корпоративного управления являются создание действенной системы обеспечения сохранности предоставленных акционерами средств и их эффективного использования, снижение рисков, которые инвесторы не могут оценить и не хотят принимать и необходимость управления которыми в долгосрочном периоде со стороны инвесторов неизбежно влечет снижение инвестиционной привлекательности компании и стоимости ее акций.</w:t>
      </w:r>
    </w:p>
    <w:p w:rsidR="00295F0E" w:rsidRPr="00E86982" w:rsidRDefault="00295F0E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>Соблюдение Обществом рекомендаций Кодекса корпоративного управления обеспечивает акционерам реальную возможность осуществлять свои права, предусмотренные законодательством Российской Федерации, Уставом Общества и решениями общих собраний акционеров, принятыми в соответствии с его компетенцией.</w:t>
      </w:r>
      <w:r w:rsidRPr="00E86982">
        <w:rPr>
          <w:rFonts w:ascii="Times New Roman" w:hAnsi="Times New Roman"/>
          <w:color w:val="000000"/>
          <w:sz w:val="20"/>
          <w:szCs w:val="20"/>
        </w:rPr>
        <w:t xml:space="preserve"> Акционеры имеют право участвовать в управлении Обществом путем принятия решений по наиболее важным вопросам деятель</w:t>
      </w:r>
      <w:r w:rsidR="00B178FC" w:rsidRPr="00E86982">
        <w:rPr>
          <w:rFonts w:ascii="Times New Roman" w:hAnsi="Times New Roman"/>
          <w:color w:val="000000"/>
          <w:sz w:val="20"/>
          <w:szCs w:val="20"/>
        </w:rPr>
        <w:t>ности О</w:t>
      </w:r>
      <w:r w:rsidRPr="00E86982">
        <w:rPr>
          <w:rFonts w:ascii="Times New Roman" w:hAnsi="Times New Roman"/>
          <w:color w:val="000000"/>
          <w:sz w:val="20"/>
          <w:szCs w:val="20"/>
        </w:rPr>
        <w:t>бщества на общем собрании акционеров.</w:t>
      </w:r>
    </w:p>
    <w:p w:rsidR="00295F0E" w:rsidRPr="00E86982" w:rsidRDefault="00295F0E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 xml:space="preserve">Целью применения стандартов корпоративного управления является защита интересов всех акционеров, независимо от размера пакета акций, которым они владеют. </w:t>
      </w:r>
    </w:p>
    <w:p w:rsidR="00295F0E" w:rsidRPr="00E86982" w:rsidRDefault="00295F0E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>Практика корпоративного управления Общества обеспечивает:</w:t>
      </w:r>
    </w:p>
    <w:p w:rsidR="00295F0E" w:rsidRPr="00E86982" w:rsidRDefault="00295F0E" w:rsidP="00295F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>- своевременное раскрытие полной и достоверной информации об Обществе, в том числе о его финансовом положении, экономических показателях, структуре собственности и управления в целях обеспечения возможности принятия об</w:t>
      </w:r>
      <w:r w:rsidR="00B178FC" w:rsidRPr="00E86982">
        <w:rPr>
          <w:rFonts w:ascii="Times New Roman" w:hAnsi="Times New Roman"/>
          <w:sz w:val="20"/>
          <w:szCs w:val="20"/>
        </w:rPr>
        <w:t>основанных решений акционерами О</w:t>
      </w:r>
      <w:r w:rsidRPr="00E86982">
        <w:rPr>
          <w:rFonts w:ascii="Times New Roman" w:hAnsi="Times New Roman"/>
          <w:sz w:val="20"/>
          <w:szCs w:val="20"/>
        </w:rPr>
        <w:t>бщества и инвесторами;</w:t>
      </w:r>
    </w:p>
    <w:p w:rsidR="00295F0E" w:rsidRPr="00E86982" w:rsidRDefault="00295F0E" w:rsidP="00295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 xml:space="preserve">- осуществление </w:t>
      </w:r>
      <w:r w:rsidR="001B447A" w:rsidRPr="00E86982">
        <w:rPr>
          <w:rFonts w:ascii="Times New Roman" w:hAnsi="Times New Roman"/>
          <w:sz w:val="20"/>
          <w:szCs w:val="20"/>
        </w:rPr>
        <w:t>С</w:t>
      </w:r>
      <w:r w:rsidRPr="00E86982">
        <w:rPr>
          <w:rFonts w:ascii="Times New Roman" w:hAnsi="Times New Roman"/>
          <w:sz w:val="20"/>
          <w:szCs w:val="20"/>
        </w:rPr>
        <w:t>оветом директоров стратегического управления деятельностью Общества и эффективный контроль с его стороны за деятельностью исполнительных органов Общества</w:t>
      </w:r>
      <w:r w:rsidR="00B178FC" w:rsidRPr="00E86982">
        <w:rPr>
          <w:rFonts w:ascii="Times New Roman" w:hAnsi="Times New Roman"/>
          <w:sz w:val="20"/>
          <w:szCs w:val="20"/>
        </w:rPr>
        <w:t xml:space="preserve">, а также подотчетность </w:t>
      </w:r>
      <w:r w:rsidR="00B178FC" w:rsidRPr="00E86982">
        <w:rPr>
          <w:rFonts w:ascii="Times New Roman" w:hAnsi="Times New Roman"/>
          <w:sz w:val="20"/>
          <w:szCs w:val="20"/>
        </w:rPr>
        <w:lastRenderedPageBreak/>
        <w:t>членов С</w:t>
      </w:r>
      <w:r w:rsidRPr="00E86982">
        <w:rPr>
          <w:rFonts w:ascii="Times New Roman" w:hAnsi="Times New Roman"/>
          <w:sz w:val="20"/>
          <w:szCs w:val="20"/>
        </w:rPr>
        <w:t>овета директоров его акционерам. При этом исполнительные органы Общества разумно, добросовес</w:t>
      </w:r>
      <w:r w:rsidR="00B178FC" w:rsidRPr="00E86982">
        <w:rPr>
          <w:rFonts w:ascii="Times New Roman" w:hAnsi="Times New Roman"/>
          <w:sz w:val="20"/>
          <w:szCs w:val="20"/>
        </w:rPr>
        <w:t>тно, исключительно в интересах О</w:t>
      </w:r>
      <w:r w:rsidRPr="00E86982">
        <w:rPr>
          <w:rFonts w:ascii="Times New Roman" w:hAnsi="Times New Roman"/>
          <w:sz w:val="20"/>
          <w:szCs w:val="20"/>
        </w:rPr>
        <w:t>бщества осуществляют эффективное руководство текущей деятельностью Общества.</w:t>
      </w:r>
    </w:p>
    <w:p w:rsidR="00295F0E" w:rsidRPr="00E86982" w:rsidRDefault="00295F0E" w:rsidP="00295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 xml:space="preserve">Акционеры Общества обеспечены надежными и эффективными способами учета прав собственности на акции, а также возможностью свободного и быстрого отчуждения принадлежащих им акций. </w:t>
      </w:r>
      <w:r w:rsidRPr="00E86982">
        <w:rPr>
          <w:rFonts w:ascii="Times New Roman" w:hAnsi="Times New Roman"/>
          <w:color w:val="000000"/>
          <w:sz w:val="20"/>
          <w:szCs w:val="20"/>
        </w:rPr>
        <w:t>Все акционеры имеют возможность получать эффективную защиту в случае нарушения их прав.</w:t>
      </w:r>
    </w:p>
    <w:p w:rsidR="00295F0E" w:rsidRPr="00E86982" w:rsidRDefault="00295F0E" w:rsidP="00295F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86982">
        <w:rPr>
          <w:rFonts w:ascii="Times New Roman" w:hAnsi="Times New Roman"/>
          <w:color w:val="000000"/>
          <w:sz w:val="20"/>
          <w:szCs w:val="20"/>
        </w:rPr>
        <w:t>Общество в своей деятельности учитывает интересы третьих лиц, в том числе кредиторов.</w:t>
      </w:r>
    </w:p>
    <w:p w:rsidR="00295F0E" w:rsidRPr="00E86982" w:rsidRDefault="00295F0E" w:rsidP="00295F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86982">
        <w:rPr>
          <w:rFonts w:ascii="Times New Roman" w:hAnsi="Times New Roman"/>
          <w:sz w:val="20"/>
          <w:szCs w:val="20"/>
        </w:rPr>
        <w:t>Применение Обществом положений Кодекса корпоративного управления является добровольным и основано на стремлении повысить привлекательность Общества в глазах существующих и потенциальных инвесторов.</w:t>
      </w:r>
    </w:p>
    <w:p w:rsidR="000603B7" w:rsidRPr="00E86982" w:rsidRDefault="000603B7" w:rsidP="000603B7">
      <w:pPr>
        <w:pStyle w:val="a8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86982">
        <w:rPr>
          <w:rFonts w:ascii="Times New Roman" w:hAnsi="Times New Roman"/>
          <w:szCs w:val="20"/>
        </w:rPr>
        <w:t>В связи с тем, что акции Общества не допущены к организованным торгам, данный годовой отчет не включает отчет о соблюдении принципов и рекомендаций Кодекса корпоративного управления (основание: пункт 57.2. Положения Банка России от 27.03.2020 № 714-П "О раскрытии информации эмитентами эмиссионных ценных бумаг").</w:t>
      </w:r>
    </w:p>
    <w:p w:rsidR="0004653D" w:rsidRPr="00E86982" w:rsidRDefault="0004653D" w:rsidP="0004653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95F0E" w:rsidRPr="00E86982" w:rsidRDefault="00295F0E" w:rsidP="00295F0E">
      <w:pPr>
        <w:pStyle w:val="a8"/>
        <w:snapToGrid w:val="0"/>
        <w:contextualSpacing/>
        <w:jc w:val="center"/>
        <w:rPr>
          <w:rFonts w:ascii="Times New Roman" w:hAnsi="Times New Roman"/>
          <w:b/>
          <w:bCs/>
          <w:color w:val="000000"/>
          <w:szCs w:val="20"/>
          <w:u w:val="single"/>
        </w:rPr>
      </w:pPr>
      <w:r w:rsidRPr="00E86982">
        <w:rPr>
          <w:rFonts w:ascii="Times New Roman" w:hAnsi="Times New Roman"/>
          <w:b/>
          <w:bCs/>
          <w:color w:val="000000"/>
          <w:szCs w:val="20"/>
          <w:u w:val="single"/>
        </w:rPr>
        <w:t>Иная информация, предусмотренная уставом или внутренним документом акционерного общества</w:t>
      </w:r>
    </w:p>
    <w:p w:rsidR="00B84BF7" w:rsidRPr="00660BDE" w:rsidRDefault="00295F0E" w:rsidP="00F61095">
      <w:pPr>
        <w:pStyle w:val="a8"/>
        <w:snapToGrid w:val="0"/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86982">
        <w:rPr>
          <w:rFonts w:ascii="Times New Roman" w:hAnsi="Times New Roman"/>
          <w:color w:val="000000"/>
          <w:szCs w:val="20"/>
        </w:rPr>
        <w:t>Иная информация, подлежащая включению в годовой отчет о деятельности Общества, уставом или внутренним документом Общества не предусмотрена.</w:t>
      </w:r>
      <w:bookmarkStart w:id="0" w:name="_GoBack"/>
      <w:bookmarkEnd w:id="0"/>
    </w:p>
    <w:sectPr w:rsidR="00B84BF7" w:rsidRPr="00660BDE" w:rsidSect="00B178F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4" w:h="16836"/>
      <w:pgMar w:top="851" w:right="851" w:bottom="851" w:left="1134" w:header="397" w:footer="153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2B" w:rsidRDefault="00F8552B" w:rsidP="00871BF8">
      <w:pPr>
        <w:spacing w:line="240" w:lineRule="auto"/>
      </w:pPr>
      <w:r>
        <w:separator/>
      </w:r>
    </w:p>
  </w:endnote>
  <w:endnote w:type="continuationSeparator" w:id="0">
    <w:p w:rsidR="00F8552B" w:rsidRDefault="00F8552B" w:rsidP="00871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Default="002672D2">
    <w:pPr>
      <w:tabs>
        <w:tab w:val="center" w:pos="8594"/>
      </w:tabs>
      <w:spacing w:line="259" w:lineRule="auto"/>
    </w:pPr>
    <w:r>
      <w:rPr>
        <w:rFonts w:ascii="Arial" w:hAnsi="Arial" w:cs="Arial"/>
        <w:sz w:val="20"/>
      </w:rPr>
      <w:tab/>
    </w:r>
    <w:r w:rsidR="00F2352C">
      <w:fldChar w:fldCharType="begin"/>
    </w:r>
    <w:r>
      <w:instrText xml:space="preserve"> PAGE   \* MERGEFORMAT </w:instrText>
    </w:r>
    <w:r w:rsidR="00F2352C">
      <w:fldChar w:fldCharType="separate"/>
    </w:r>
    <w:r>
      <w:rPr>
        <w:rFonts w:ascii="Arial" w:hAnsi="Arial" w:cs="Arial"/>
        <w:sz w:val="20"/>
      </w:rPr>
      <w:t>2</w:t>
    </w:r>
    <w:r w:rsidR="00F2352C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Pr="00F35EE3" w:rsidRDefault="00F2352C">
    <w:pPr>
      <w:pStyle w:val="a9"/>
      <w:jc w:val="right"/>
      <w:rPr>
        <w:rFonts w:ascii="Times New Roman" w:hAnsi="Times New Roman"/>
        <w:sz w:val="20"/>
        <w:szCs w:val="20"/>
      </w:rPr>
    </w:pPr>
    <w:r w:rsidRPr="00F35EE3">
      <w:rPr>
        <w:rFonts w:ascii="Times New Roman" w:hAnsi="Times New Roman"/>
        <w:sz w:val="20"/>
        <w:szCs w:val="20"/>
      </w:rPr>
      <w:fldChar w:fldCharType="begin"/>
    </w:r>
    <w:r w:rsidR="002672D2" w:rsidRPr="00F35EE3">
      <w:rPr>
        <w:rFonts w:ascii="Times New Roman" w:hAnsi="Times New Roman"/>
        <w:sz w:val="20"/>
        <w:szCs w:val="20"/>
      </w:rPr>
      <w:instrText>PAGE   \* MERGEFORMAT</w:instrText>
    </w:r>
    <w:r w:rsidRPr="00F35EE3">
      <w:rPr>
        <w:rFonts w:ascii="Times New Roman" w:hAnsi="Times New Roman"/>
        <w:sz w:val="20"/>
        <w:szCs w:val="20"/>
      </w:rPr>
      <w:fldChar w:fldCharType="separate"/>
    </w:r>
    <w:r w:rsidR="00C334D2">
      <w:rPr>
        <w:rFonts w:ascii="Times New Roman" w:hAnsi="Times New Roman"/>
        <w:noProof/>
        <w:sz w:val="20"/>
        <w:szCs w:val="20"/>
      </w:rPr>
      <w:t>- 2 -</w:t>
    </w:r>
    <w:r w:rsidRPr="00F35EE3">
      <w:rPr>
        <w:rFonts w:ascii="Times New Roman" w:hAnsi="Times New Roman"/>
        <w:sz w:val="20"/>
        <w:szCs w:val="20"/>
      </w:rPr>
      <w:fldChar w:fldCharType="end"/>
    </w:r>
  </w:p>
  <w:p w:rsidR="002672D2" w:rsidRDefault="002672D2">
    <w:pPr>
      <w:tabs>
        <w:tab w:val="center" w:pos="8594"/>
      </w:tabs>
      <w:spacing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Default="002672D2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2B" w:rsidRDefault="00F8552B" w:rsidP="00871BF8">
      <w:pPr>
        <w:spacing w:line="240" w:lineRule="auto"/>
      </w:pPr>
      <w:r>
        <w:separator/>
      </w:r>
    </w:p>
  </w:footnote>
  <w:footnote w:type="continuationSeparator" w:id="0">
    <w:p w:rsidR="00F8552B" w:rsidRDefault="00F8552B" w:rsidP="00871B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Default="002672D2">
    <w:pPr>
      <w:spacing w:line="280" w:lineRule="auto"/>
      <w:ind w:right="125"/>
      <w:jc w:val="right"/>
    </w:pPr>
    <w:r>
      <w:rPr>
        <w:i/>
        <w:sz w:val="20"/>
        <w:u w:val="single" w:color="000000"/>
      </w:rPr>
      <w:t>Годовой отчет Открытого акционерного общества Владимирский завод прецизионного оборудования «Техника» за 2013год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Pr="00FC5A79" w:rsidRDefault="002672D2" w:rsidP="00FC5A79">
    <w:pPr>
      <w:pStyle w:val="a3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Годовой отчет А</w:t>
    </w:r>
    <w:r w:rsidR="0041091D">
      <w:rPr>
        <w:rFonts w:ascii="Times New Roman" w:hAnsi="Times New Roman"/>
        <w:i/>
        <w:sz w:val="20"/>
        <w:szCs w:val="20"/>
      </w:rPr>
      <w:t xml:space="preserve">О </w:t>
    </w:r>
    <w:r w:rsidR="00660BDE">
      <w:rPr>
        <w:rFonts w:ascii="Times New Roman" w:hAnsi="Times New Roman"/>
        <w:i/>
        <w:sz w:val="20"/>
        <w:szCs w:val="20"/>
      </w:rPr>
      <w:t>"Владимирагроторг"</w:t>
    </w:r>
    <w:r>
      <w:rPr>
        <w:rFonts w:ascii="Times New Roman" w:hAnsi="Times New Roman"/>
        <w:i/>
        <w:sz w:val="20"/>
        <w:szCs w:val="20"/>
      </w:rPr>
      <w:t xml:space="preserve"> за 20</w:t>
    </w:r>
    <w:r w:rsidR="00441639">
      <w:rPr>
        <w:rFonts w:ascii="Times New Roman" w:hAnsi="Times New Roman"/>
        <w:i/>
        <w:sz w:val="20"/>
        <w:szCs w:val="20"/>
      </w:rPr>
      <w:t>2</w:t>
    </w:r>
    <w:r w:rsidR="006B6C39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D2" w:rsidRDefault="002672D2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2BD"/>
    <w:multiLevelType w:val="hybridMultilevel"/>
    <w:tmpl w:val="E03CF790"/>
    <w:lvl w:ilvl="0" w:tplc="15223144">
      <w:start w:val="1"/>
      <w:numFmt w:val="bullet"/>
      <w:lvlText w:val="-"/>
      <w:lvlJc w:val="left"/>
      <w:pPr>
        <w:ind w:left="8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44E683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2" w:tplc="C60A15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3" w:tplc="5FDCF0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4" w:tplc="13D66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5" w:tplc="878A19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6" w:tplc="C38A0C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7" w:tplc="55E819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8" w:tplc="89D661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</w:abstractNum>
  <w:abstractNum w:abstractNumId="1">
    <w:nsid w:val="3E627753"/>
    <w:multiLevelType w:val="hybridMultilevel"/>
    <w:tmpl w:val="F86AC68A"/>
    <w:lvl w:ilvl="0" w:tplc="4D5E93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4FE2027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2" w:tplc="C216376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3" w:tplc="9472418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4" w:tplc="58DE970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5" w:tplc="4EB4D9D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6" w:tplc="D2545DA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7" w:tplc="4756330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8" w:tplc="5A9215D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</w:abstractNum>
  <w:abstractNum w:abstractNumId="2">
    <w:nsid w:val="405C5756"/>
    <w:multiLevelType w:val="hybridMultilevel"/>
    <w:tmpl w:val="81B477BC"/>
    <w:lvl w:ilvl="0" w:tplc="0A641B42">
      <w:start w:val="1"/>
      <w:numFmt w:val="bullet"/>
      <w:lvlText w:val="-"/>
      <w:lvlJc w:val="left"/>
      <w:pPr>
        <w:ind w:left="8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2536EF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2" w:tplc="6FA0BA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3" w:tplc="149297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4" w:tplc="3B5801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5" w:tplc="72406C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6" w:tplc="803C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7" w:tplc="8BFCE6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8" w:tplc="DDCEBE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1BF8"/>
    <w:rsid w:val="00002601"/>
    <w:rsid w:val="00003D40"/>
    <w:rsid w:val="000057B2"/>
    <w:rsid w:val="00012919"/>
    <w:rsid w:val="000178D9"/>
    <w:rsid w:val="00023079"/>
    <w:rsid w:val="00024007"/>
    <w:rsid w:val="00024F74"/>
    <w:rsid w:val="00025177"/>
    <w:rsid w:val="000301D9"/>
    <w:rsid w:val="00033599"/>
    <w:rsid w:val="00034C68"/>
    <w:rsid w:val="00035F89"/>
    <w:rsid w:val="00044D0E"/>
    <w:rsid w:val="000463F7"/>
    <w:rsid w:val="0004653D"/>
    <w:rsid w:val="00051940"/>
    <w:rsid w:val="00057519"/>
    <w:rsid w:val="000603B7"/>
    <w:rsid w:val="00062350"/>
    <w:rsid w:val="00063EE8"/>
    <w:rsid w:val="000830FA"/>
    <w:rsid w:val="0008393B"/>
    <w:rsid w:val="00096A29"/>
    <w:rsid w:val="000A66AE"/>
    <w:rsid w:val="000B1112"/>
    <w:rsid w:val="000B36BF"/>
    <w:rsid w:val="000B68EB"/>
    <w:rsid w:val="000C7A20"/>
    <w:rsid w:val="000D1614"/>
    <w:rsid w:val="000D3CA6"/>
    <w:rsid w:val="000D4264"/>
    <w:rsid w:val="000D53C6"/>
    <w:rsid w:val="000E5180"/>
    <w:rsid w:val="000E5CC0"/>
    <w:rsid w:val="0010513B"/>
    <w:rsid w:val="00105730"/>
    <w:rsid w:val="00110D17"/>
    <w:rsid w:val="0011232E"/>
    <w:rsid w:val="00115B66"/>
    <w:rsid w:val="00115ECA"/>
    <w:rsid w:val="00115F38"/>
    <w:rsid w:val="00116115"/>
    <w:rsid w:val="00116C77"/>
    <w:rsid w:val="001212A5"/>
    <w:rsid w:val="001213D3"/>
    <w:rsid w:val="0012192D"/>
    <w:rsid w:val="00125CA0"/>
    <w:rsid w:val="0013436D"/>
    <w:rsid w:val="00137FF8"/>
    <w:rsid w:val="00147F60"/>
    <w:rsid w:val="00151A74"/>
    <w:rsid w:val="00151C7B"/>
    <w:rsid w:val="00161120"/>
    <w:rsid w:val="001640D8"/>
    <w:rsid w:val="00165ACE"/>
    <w:rsid w:val="00166AFD"/>
    <w:rsid w:val="001811E6"/>
    <w:rsid w:val="00181E21"/>
    <w:rsid w:val="001838BB"/>
    <w:rsid w:val="00183E28"/>
    <w:rsid w:val="00194525"/>
    <w:rsid w:val="001A7777"/>
    <w:rsid w:val="001B447A"/>
    <w:rsid w:val="001B55FD"/>
    <w:rsid w:val="001B6654"/>
    <w:rsid w:val="001C0E74"/>
    <w:rsid w:val="001C30F5"/>
    <w:rsid w:val="001D11BB"/>
    <w:rsid w:val="001D3E0C"/>
    <w:rsid w:val="001E71A7"/>
    <w:rsid w:val="001F4DCA"/>
    <w:rsid w:val="002005F3"/>
    <w:rsid w:val="0020336E"/>
    <w:rsid w:val="00205AB7"/>
    <w:rsid w:val="00207B7E"/>
    <w:rsid w:val="00207D84"/>
    <w:rsid w:val="0021270C"/>
    <w:rsid w:val="00214E0C"/>
    <w:rsid w:val="00217713"/>
    <w:rsid w:val="00220F64"/>
    <w:rsid w:val="00226EF3"/>
    <w:rsid w:val="002337AF"/>
    <w:rsid w:val="00240DD0"/>
    <w:rsid w:val="00244555"/>
    <w:rsid w:val="00246126"/>
    <w:rsid w:val="00250380"/>
    <w:rsid w:val="00257234"/>
    <w:rsid w:val="0025778F"/>
    <w:rsid w:val="00263558"/>
    <w:rsid w:val="002672D2"/>
    <w:rsid w:val="00270A94"/>
    <w:rsid w:val="00282917"/>
    <w:rsid w:val="00284A88"/>
    <w:rsid w:val="00286086"/>
    <w:rsid w:val="00287552"/>
    <w:rsid w:val="00294F35"/>
    <w:rsid w:val="00295933"/>
    <w:rsid w:val="00295F0E"/>
    <w:rsid w:val="002A17EE"/>
    <w:rsid w:val="002A28DD"/>
    <w:rsid w:val="002A5C82"/>
    <w:rsid w:val="002B30BA"/>
    <w:rsid w:val="002C2973"/>
    <w:rsid w:val="002D1589"/>
    <w:rsid w:val="002D5B3E"/>
    <w:rsid w:val="002D5FE7"/>
    <w:rsid w:val="002E1C0A"/>
    <w:rsid w:val="002E6388"/>
    <w:rsid w:val="002F3819"/>
    <w:rsid w:val="002F409C"/>
    <w:rsid w:val="002F57CC"/>
    <w:rsid w:val="002F6DD0"/>
    <w:rsid w:val="003009EE"/>
    <w:rsid w:val="00302F95"/>
    <w:rsid w:val="0030479E"/>
    <w:rsid w:val="00306AC8"/>
    <w:rsid w:val="003128E5"/>
    <w:rsid w:val="00314C8A"/>
    <w:rsid w:val="00321299"/>
    <w:rsid w:val="003252F2"/>
    <w:rsid w:val="00330506"/>
    <w:rsid w:val="0033154F"/>
    <w:rsid w:val="00331ED8"/>
    <w:rsid w:val="0033547D"/>
    <w:rsid w:val="00335C52"/>
    <w:rsid w:val="00335F35"/>
    <w:rsid w:val="00340818"/>
    <w:rsid w:val="0034097C"/>
    <w:rsid w:val="003430B3"/>
    <w:rsid w:val="00351624"/>
    <w:rsid w:val="00351CBD"/>
    <w:rsid w:val="00355D19"/>
    <w:rsid w:val="00356AF4"/>
    <w:rsid w:val="00361BF7"/>
    <w:rsid w:val="003629FA"/>
    <w:rsid w:val="00364138"/>
    <w:rsid w:val="00365BEA"/>
    <w:rsid w:val="00392388"/>
    <w:rsid w:val="00394049"/>
    <w:rsid w:val="003961C6"/>
    <w:rsid w:val="003A4B03"/>
    <w:rsid w:val="003A6374"/>
    <w:rsid w:val="003B2FF8"/>
    <w:rsid w:val="003B645F"/>
    <w:rsid w:val="003B742A"/>
    <w:rsid w:val="003C291B"/>
    <w:rsid w:val="003C46CA"/>
    <w:rsid w:val="003C6BCD"/>
    <w:rsid w:val="003D0A6F"/>
    <w:rsid w:val="003D0BC7"/>
    <w:rsid w:val="003D1798"/>
    <w:rsid w:val="003D18F2"/>
    <w:rsid w:val="003D29D2"/>
    <w:rsid w:val="003D3945"/>
    <w:rsid w:val="003E1323"/>
    <w:rsid w:val="003E26F5"/>
    <w:rsid w:val="003E283F"/>
    <w:rsid w:val="003F1E0B"/>
    <w:rsid w:val="003F5876"/>
    <w:rsid w:val="00403202"/>
    <w:rsid w:val="00404AA6"/>
    <w:rsid w:val="0040662D"/>
    <w:rsid w:val="0041091D"/>
    <w:rsid w:val="004169FA"/>
    <w:rsid w:val="004218CE"/>
    <w:rsid w:val="004233DE"/>
    <w:rsid w:val="004314DA"/>
    <w:rsid w:val="00432728"/>
    <w:rsid w:val="00432CC7"/>
    <w:rsid w:val="004374CB"/>
    <w:rsid w:val="00441639"/>
    <w:rsid w:val="00441DA7"/>
    <w:rsid w:val="00442869"/>
    <w:rsid w:val="00444189"/>
    <w:rsid w:val="00444956"/>
    <w:rsid w:val="00446F74"/>
    <w:rsid w:val="00447B7A"/>
    <w:rsid w:val="00450FBE"/>
    <w:rsid w:val="00454A8E"/>
    <w:rsid w:val="004558EF"/>
    <w:rsid w:val="00456BF7"/>
    <w:rsid w:val="00464E9A"/>
    <w:rsid w:val="00470E2E"/>
    <w:rsid w:val="004742FF"/>
    <w:rsid w:val="004747F7"/>
    <w:rsid w:val="00474A6A"/>
    <w:rsid w:val="00487641"/>
    <w:rsid w:val="0049178D"/>
    <w:rsid w:val="004938A5"/>
    <w:rsid w:val="004A0B72"/>
    <w:rsid w:val="004A378D"/>
    <w:rsid w:val="004A6817"/>
    <w:rsid w:val="004B12F9"/>
    <w:rsid w:val="004B3EA8"/>
    <w:rsid w:val="004B78EA"/>
    <w:rsid w:val="004C061C"/>
    <w:rsid w:val="004C0DA0"/>
    <w:rsid w:val="004C5789"/>
    <w:rsid w:val="004C78FC"/>
    <w:rsid w:val="004C7AAA"/>
    <w:rsid w:val="004D203E"/>
    <w:rsid w:val="004D39AC"/>
    <w:rsid w:val="004D4204"/>
    <w:rsid w:val="004D5EBF"/>
    <w:rsid w:val="004E5489"/>
    <w:rsid w:val="004F2811"/>
    <w:rsid w:val="004F67AE"/>
    <w:rsid w:val="004F7329"/>
    <w:rsid w:val="005027E8"/>
    <w:rsid w:val="00522D6C"/>
    <w:rsid w:val="005260DD"/>
    <w:rsid w:val="0055311D"/>
    <w:rsid w:val="00561AEE"/>
    <w:rsid w:val="00562982"/>
    <w:rsid w:val="00572CA4"/>
    <w:rsid w:val="005752E2"/>
    <w:rsid w:val="00575859"/>
    <w:rsid w:val="005907C6"/>
    <w:rsid w:val="00591C47"/>
    <w:rsid w:val="00593BA5"/>
    <w:rsid w:val="00596E44"/>
    <w:rsid w:val="005A36BA"/>
    <w:rsid w:val="005B48E2"/>
    <w:rsid w:val="005C26C6"/>
    <w:rsid w:val="005C2A9C"/>
    <w:rsid w:val="005E646F"/>
    <w:rsid w:val="005F1E94"/>
    <w:rsid w:val="005F4FAB"/>
    <w:rsid w:val="006065BE"/>
    <w:rsid w:val="0062189B"/>
    <w:rsid w:val="00622260"/>
    <w:rsid w:val="00622890"/>
    <w:rsid w:val="0062464B"/>
    <w:rsid w:val="006259E2"/>
    <w:rsid w:val="006278EB"/>
    <w:rsid w:val="00636A67"/>
    <w:rsid w:val="00637D72"/>
    <w:rsid w:val="00637F29"/>
    <w:rsid w:val="00640F8F"/>
    <w:rsid w:val="006419A0"/>
    <w:rsid w:val="006509E9"/>
    <w:rsid w:val="00650EE7"/>
    <w:rsid w:val="00660775"/>
    <w:rsid w:val="00660BDE"/>
    <w:rsid w:val="00673E53"/>
    <w:rsid w:val="00677403"/>
    <w:rsid w:val="00683777"/>
    <w:rsid w:val="006927A1"/>
    <w:rsid w:val="00695849"/>
    <w:rsid w:val="006A1957"/>
    <w:rsid w:val="006B0872"/>
    <w:rsid w:val="006B2685"/>
    <w:rsid w:val="006B2860"/>
    <w:rsid w:val="006B3B75"/>
    <w:rsid w:val="006B3F17"/>
    <w:rsid w:val="006B6C39"/>
    <w:rsid w:val="006C13EB"/>
    <w:rsid w:val="006D3F15"/>
    <w:rsid w:val="006D664B"/>
    <w:rsid w:val="006E0154"/>
    <w:rsid w:val="006E0360"/>
    <w:rsid w:val="006E30EA"/>
    <w:rsid w:val="006E450A"/>
    <w:rsid w:val="006E612D"/>
    <w:rsid w:val="006F4F4C"/>
    <w:rsid w:val="006F6155"/>
    <w:rsid w:val="00700B37"/>
    <w:rsid w:val="00704992"/>
    <w:rsid w:val="00704A37"/>
    <w:rsid w:val="00706780"/>
    <w:rsid w:val="007119FC"/>
    <w:rsid w:val="007138DC"/>
    <w:rsid w:val="00713A6F"/>
    <w:rsid w:val="00715E1B"/>
    <w:rsid w:val="00723216"/>
    <w:rsid w:val="00725FEC"/>
    <w:rsid w:val="00727757"/>
    <w:rsid w:val="00734662"/>
    <w:rsid w:val="007404C2"/>
    <w:rsid w:val="00740BC7"/>
    <w:rsid w:val="0075093F"/>
    <w:rsid w:val="00751CF4"/>
    <w:rsid w:val="00752858"/>
    <w:rsid w:val="007637C2"/>
    <w:rsid w:val="007646DD"/>
    <w:rsid w:val="00765F8E"/>
    <w:rsid w:val="007814F1"/>
    <w:rsid w:val="0078226A"/>
    <w:rsid w:val="00785FE0"/>
    <w:rsid w:val="00786335"/>
    <w:rsid w:val="0079167E"/>
    <w:rsid w:val="007942FF"/>
    <w:rsid w:val="007970D9"/>
    <w:rsid w:val="007A22EB"/>
    <w:rsid w:val="007A425F"/>
    <w:rsid w:val="007A5EF8"/>
    <w:rsid w:val="007A7758"/>
    <w:rsid w:val="007B0DDE"/>
    <w:rsid w:val="007B6E6B"/>
    <w:rsid w:val="007C516D"/>
    <w:rsid w:val="007D447C"/>
    <w:rsid w:val="007D5B87"/>
    <w:rsid w:val="007E4506"/>
    <w:rsid w:val="007E594F"/>
    <w:rsid w:val="007E67B9"/>
    <w:rsid w:val="00805CFB"/>
    <w:rsid w:val="00807A15"/>
    <w:rsid w:val="008110FC"/>
    <w:rsid w:val="00817F0B"/>
    <w:rsid w:val="00820A13"/>
    <w:rsid w:val="00825509"/>
    <w:rsid w:val="00826069"/>
    <w:rsid w:val="0082614F"/>
    <w:rsid w:val="00826503"/>
    <w:rsid w:val="00841357"/>
    <w:rsid w:val="00841F85"/>
    <w:rsid w:val="008422D4"/>
    <w:rsid w:val="008430CD"/>
    <w:rsid w:val="00843595"/>
    <w:rsid w:val="00846721"/>
    <w:rsid w:val="00853DA6"/>
    <w:rsid w:val="00855BF7"/>
    <w:rsid w:val="00857C30"/>
    <w:rsid w:val="00863C30"/>
    <w:rsid w:val="00871BF8"/>
    <w:rsid w:val="00872F89"/>
    <w:rsid w:val="008802D3"/>
    <w:rsid w:val="0088211C"/>
    <w:rsid w:val="0088430B"/>
    <w:rsid w:val="008913ED"/>
    <w:rsid w:val="00891B41"/>
    <w:rsid w:val="00891C00"/>
    <w:rsid w:val="008926CB"/>
    <w:rsid w:val="00893E86"/>
    <w:rsid w:val="008969F8"/>
    <w:rsid w:val="00896E32"/>
    <w:rsid w:val="008C206D"/>
    <w:rsid w:val="008C32B3"/>
    <w:rsid w:val="008C4EF9"/>
    <w:rsid w:val="008C589F"/>
    <w:rsid w:val="008C5D33"/>
    <w:rsid w:val="008D1C51"/>
    <w:rsid w:val="008D3842"/>
    <w:rsid w:val="008D6B05"/>
    <w:rsid w:val="008E057B"/>
    <w:rsid w:val="008E3BAD"/>
    <w:rsid w:val="008F52A9"/>
    <w:rsid w:val="008F5FC9"/>
    <w:rsid w:val="008F6B7E"/>
    <w:rsid w:val="008F7575"/>
    <w:rsid w:val="00901B50"/>
    <w:rsid w:val="009143E1"/>
    <w:rsid w:val="00916667"/>
    <w:rsid w:val="00920045"/>
    <w:rsid w:val="009259F4"/>
    <w:rsid w:val="00932AAD"/>
    <w:rsid w:val="0093555F"/>
    <w:rsid w:val="009375D3"/>
    <w:rsid w:val="00941D1D"/>
    <w:rsid w:val="009451ED"/>
    <w:rsid w:val="00950139"/>
    <w:rsid w:val="00955DC8"/>
    <w:rsid w:val="0095684B"/>
    <w:rsid w:val="009610AD"/>
    <w:rsid w:val="0097078F"/>
    <w:rsid w:val="009707AB"/>
    <w:rsid w:val="00976490"/>
    <w:rsid w:val="00977E7A"/>
    <w:rsid w:val="00985800"/>
    <w:rsid w:val="00986AAA"/>
    <w:rsid w:val="00990CEF"/>
    <w:rsid w:val="00993B13"/>
    <w:rsid w:val="009A04A1"/>
    <w:rsid w:val="009A2668"/>
    <w:rsid w:val="009B4AC8"/>
    <w:rsid w:val="009B7E0C"/>
    <w:rsid w:val="009C1691"/>
    <w:rsid w:val="009C6B46"/>
    <w:rsid w:val="009C76C4"/>
    <w:rsid w:val="009D368D"/>
    <w:rsid w:val="009E1162"/>
    <w:rsid w:val="009E607C"/>
    <w:rsid w:val="009E7639"/>
    <w:rsid w:val="009F52CF"/>
    <w:rsid w:val="00A05FF0"/>
    <w:rsid w:val="00A103EB"/>
    <w:rsid w:val="00A10D38"/>
    <w:rsid w:val="00A14577"/>
    <w:rsid w:val="00A148B1"/>
    <w:rsid w:val="00A1528B"/>
    <w:rsid w:val="00A23F61"/>
    <w:rsid w:val="00A25D40"/>
    <w:rsid w:val="00A30D06"/>
    <w:rsid w:val="00A31105"/>
    <w:rsid w:val="00A3233E"/>
    <w:rsid w:val="00A37D24"/>
    <w:rsid w:val="00A41724"/>
    <w:rsid w:val="00A436EA"/>
    <w:rsid w:val="00A50441"/>
    <w:rsid w:val="00A51F11"/>
    <w:rsid w:val="00A64574"/>
    <w:rsid w:val="00A72AE0"/>
    <w:rsid w:val="00A75174"/>
    <w:rsid w:val="00A8540E"/>
    <w:rsid w:val="00A87710"/>
    <w:rsid w:val="00A92CEA"/>
    <w:rsid w:val="00A92E7A"/>
    <w:rsid w:val="00A94570"/>
    <w:rsid w:val="00AA3022"/>
    <w:rsid w:val="00AA6D15"/>
    <w:rsid w:val="00AB1CD6"/>
    <w:rsid w:val="00AB1FAC"/>
    <w:rsid w:val="00AB6609"/>
    <w:rsid w:val="00AC187B"/>
    <w:rsid w:val="00AC1E0B"/>
    <w:rsid w:val="00AC5259"/>
    <w:rsid w:val="00AD5477"/>
    <w:rsid w:val="00AD6E02"/>
    <w:rsid w:val="00AE62AA"/>
    <w:rsid w:val="00AE7B9D"/>
    <w:rsid w:val="00AF3660"/>
    <w:rsid w:val="00AF76F4"/>
    <w:rsid w:val="00AF7CFB"/>
    <w:rsid w:val="00B03469"/>
    <w:rsid w:val="00B05A28"/>
    <w:rsid w:val="00B07260"/>
    <w:rsid w:val="00B072B3"/>
    <w:rsid w:val="00B11BEF"/>
    <w:rsid w:val="00B173D3"/>
    <w:rsid w:val="00B178FC"/>
    <w:rsid w:val="00B20428"/>
    <w:rsid w:val="00B30977"/>
    <w:rsid w:val="00B33E8A"/>
    <w:rsid w:val="00B35FB7"/>
    <w:rsid w:val="00B37A89"/>
    <w:rsid w:val="00B40944"/>
    <w:rsid w:val="00B4568B"/>
    <w:rsid w:val="00B52DBF"/>
    <w:rsid w:val="00B65567"/>
    <w:rsid w:val="00B75D04"/>
    <w:rsid w:val="00B76D34"/>
    <w:rsid w:val="00B83F78"/>
    <w:rsid w:val="00B84BF7"/>
    <w:rsid w:val="00B91FFE"/>
    <w:rsid w:val="00B97901"/>
    <w:rsid w:val="00BA4BCB"/>
    <w:rsid w:val="00BA757C"/>
    <w:rsid w:val="00BB11E2"/>
    <w:rsid w:val="00BB1581"/>
    <w:rsid w:val="00BC301C"/>
    <w:rsid w:val="00BC4903"/>
    <w:rsid w:val="00BD0653"/>
    <w:rsid w:val="00BD3E0E"/>
    <w:rsid w:val="00BE4024"/>
    <w:rsid w:val="00BE50FA"/>
    <w:rsid w:val="00BE6F3E"/>
    <w:rsid w:val="00BE7A06"/>
    <w:rsid w:val="00BF11B1"/>
    <w:rsid w:val="00BF3830"/>
    <w:rsid w:val="00BF6A13"/>
    <w:rsid w:val="00BF700C"/>
    <w:rsid w:val="00C03530"/>
    <w:rsid w:val="00C046B6"/>
    <w:rsid w:val="00C055BD"/>
    <w:rsid w:val="00C05F05"/>
    <w:rsid w:val="00C10FE2"/>
    <w:rsid w:val="00C13DE1"/>
    <w:rsid w:val="00C14DD1"/>
    <w:rsid w:val="00C21478"/>
    <w:rsid w:val="00C23793"/>
    <w:rsid w:val="00C263D6"/>
    <w:rsid w:val="00C26B24"/>
    <w:rsid w:val="00C324BD"/>
    <w:rsid w:val="00C334D2"/>
    <w:rsid w:val="00C34AC0"/>
    <w:rsid w:val="00C37024"/>
    <w:rsid w:val="00C43F4D"/>
    <w:rsid w:val="00C5511F"/>
    <w:rsid w:val="00C57D72"/>
    <w:rsid w:val="00C618AC"/>
    <w:rsid w:val="00C708F5"/>
    <w:rsid w:val="00C71CAA"/>
    <w:rsid w:val="00C72FA9"/>
    <w:rsid w:val="00C75523"/>
    <w:rsid w:val="00C8339F"/>
    <w:rsid w:val="00C83849"/>
    <w:rsid w:val="00C94A94"/>
    <w:rsid w:val="00CA1983"/>
    <w:rsid w:val="00CA1FA5"/>
    <w:rsid w:val="00CA6F76"/>
    <w:rsid w:val="00CA72F3"/>
    <w:rsid w:val="00CA7B58"/>
    <w:rsid w:val="00CB4867"/>
    <w:rsid w:val="00CC2C7C"/>
    <w:rsid w:val="00CC752F"/>
    <w:rsid w:val="00CD43B8"/>
    <w:rsid w:val="00CF789E"/>
    <w:rsid w:val="00D01BFC"/>
    <w:rsid w:val="00D132CF"/>
    <w:rsid w:val="00D1466C"/>
    <w:rsid w:val="00D173A4"/>
    <w:rsid w:val="00D1760A"/>
    <w:rsid w:val="00D32638"/>
    <w:rsid w:val="00D42F76"/>
    <w:rsid w:val="00D432C3"/>
    <w:rsid w:val="00D448DA"/>
    <w:rsid w:val="00D45222"/>
    <w:rsid w:val="00D47656"/>
    <w:rsid w:val="00D63622"/>
    <w:rsid w:val="00D646AA"/>
    <w:rsid w:val="00D648CA"/>
    <w:rsid w:val="00D714E6"/>
    <w:rsid w:val="00D8399E"/>
    <w:rsid w:val="00D85FAF"/>
    <w:rsid w:val="00DA6161"/>
    <w:rsid w:val="00DC0DB7"/>
    <w:rsid w:val="00DC1727"/>
    <w:rsid w:val="00DC54F8"/>
    <w:rsid w:val="00DC55DB"/>
    <w:rsid w:val="00DD441D"/>
    <w:rsid w:val="00DD6E99"/>
    <w:rsid w:val="00DE1EC6"/>
    <w:rsid w:val="00DE2262"/>
    <w:rsid w:val="00DF19A2"/>
    <w:rsid w:val="00DF2017"/>
    <w:rsid w:val="00DF34A1"/>
    <w:rsid w:val="00DF6FA3"/>
    <w:rsid w:val="00DF720C"/>
    <w:rsid w:val="00E1669D"/>
    <w:rsid w:val="00E16B53"/>
    <w:rsid w:val="00E207C7"/>
    <w:rsid w:val="00E20CA1"/>
    <w:rsid w:val="00E239B0"/>
    <w:rsid w:val="00E3177E"/>
    <w:rsid w:val="00E31AC8"/>
    <w:rsid w:val="00E34D4A"/>
    <w:rsid w:val="00E37E2D"/>
    <w:rsid w:val="00E40026"/>
    <w:rsid w:val="00E43636"/>
    <w:rsid w:val="00E5248C"/>
    <w:rsid w:val="00E60810"/>
    <w:rsid w:val="00E64636"/>
    <w:rsid w:val="00E67F00"/>
    <w:rsid w:val="00E707F6"/>
    <w:rsid w:val="00E72D6E"/>
    <w:rsid w:val="00E758A6"/>
    <w:rsid w:val="00E76186"/>
    <w:rsid w:val="00E822A7"/>
    <w:rsid w:val="00E86982"/>
    <w:rsid w:val="00E951C8"/>
    <w:rsid w:val="00EA3D40"/>
    <w:rsid w:val="00EB12D4"/>
    <w:rsid w:val="00EC0AC5"/>
    <w:rsid w:val="00EC27A3"/>
    <w:rsid w:val="00EC3F9E"/>
    <w:rsid w:val="00EC7D29"/>
    <w:rsid w:val="00ED1360"/>
    <w:rsid w:val="00ED3F48"/>
    <w:rsid w:val="00ED4673"/>
    <w:rsid w:val="00ED4A0E"/>
    <w:rsid w:val="00ED6A89"/>
    <w:rsid w:val="00EE0A46"/>
    <w:rsid w:val="00EF175C"/>
    <w:rsid w:val="00EF1907"/>
    <w:rsid w:val="00EF2032"/>
    <w:rsid w:val="00EF4017"/>
    <w:rsid w:val="00EF52C2"/>
    <w:rsid w:val="00EF673F"/>
    <w:rsid w:val="00F07201"/>
    <w:rsid w:val="00F10676"/>
    <w:rsid w:val="00F12257"/>
    <w:rsid w:val="00F2352C"/>
    <w:rsid w:val="00F24A37"/>
    <w:rsid w:val="00F2563F"/>
    <w:rsid w:val="00F26607"/>
    <w:rsid w:val="00F26892"/>
    <w:rsid w:val="00F301FD"/>
    <w:rsid w:val="00F35EE3"/>
    <w:rsid w:val="00F4761A"/>
    <w:rsid w:val="00F47B29"/>
    <w:rsid w:val="00F521C2"/>
    <w:rsid w:val="00F5777E"/>
    <w:rsid w:val="00F61095"/>
    <w:rsid w:val="00F62030"/>
    <w:rsid w:val="00F645D9"/>
    <w:rsid w:val="00F653A7"/>
    <w:rsid w:val="00F657A1"/>
    <w:rsid w:val="00F66194"/>
    <w:rsid w:val="00F809E3"/>
    <w:rsid w:val="00F80C79"/>
    <w:rsid w:val="00F82BF6"/>
    <w:rsid w:val="00F82FD0"/>
    <w:rsid w:val="00F8552B"/>
    <w:rsid w:val="00F91097"/>
    <w:rsid w:val="00F9296D"/>
    <w:rsid w:val="00FA72EC"/>
    <w:rsid w:val="00FB6A58"/>
    <w:rsid w:val="00FC051E"/>
    <w:rsid w:val="00FC08DF"/>
    <w:rsid w:val="00FC53B1"/>
    <w:rsid w:val="00FC5A79"/>
    <w:rsid w:val="00FC6996"/>
    <w:rsid w:val="00FE19CA"/>
    <w:rsid w:val="00FE2DAB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9D"/>
    <w:pPr>
      <w:spacing w:line="240" w:lineRule="atLeast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1BF8"/>
    <w:pPr>
      <w:keepNext/>
      <w:keepLines/>
      <w:spacing w:before="480"/>
      <w:outlineLvl w:val="0"/>
    </w:pPr>
    <w:rPr>
      <w:rFonts w:ascii="Times New Roman" w:eastAsia="Calibri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71BF8"/>
    <w:pPr>
      <w:spacing w:line="240" w:lineRule="atLeast"/>
    </w:pPr>
    <w:rPr>
      <w:rFonts w:eastAsia="Times New Roman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rsid w:val="00871BF8"/>
    <w:pPr>
      <w:keepNext/>
      <w:keepLines/>
      <w:spacing w:after="3" w:line="259" w:lineRule="auto"/>
      <w:ind w:left="10" w:hanging="10"/>
      <w:jc w:val="center"/>
      <w:outlineLvl w:val="0"/>
    </w:pPr>
    <w:rPr>
      <w:rFonts w:ascii="Times New Roman" w:eastAsia="Calibri" w:hAnsi="Times New Roman"/>
      <w:b/>
      <w:color w:val="000000"/>
      <w:lang w:eastAsia="ru-RU"/>
    </w:rPr>
  </w:style>
  <w:style w:type="character" w:customStyle="1" w:styleId="10">
    <w:name w:val="Заголовок 1 Знак"/>
    <w:link w:val="1"/>
    <w:locked/>
    <w:rsid w:val="00871BF8"/>
    <w:rPr>
      <w:rFonts w:ascii="Times New Roman" w:hAnsi="Times New Roman" w:cs="Times New Roman"/>
      <w:b/>
      <w:color w:val="000000"/>
    </w:rPr>
  </w:style>
  <w:style w:type="table" w:customStyle="1" w:styleId="TableGrid">
    <w:name w:val="TableGrid"/>
    <w:rsid w:val="00871BF8"/>
    <w:pPr>
      <w:spacing w:line="240" w:lineRule="atLeast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locked/>
    <w:rsid w:val="00871BF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3E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E283F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rsid w:val="0095013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50139"/>
    <w:rPr>
      <w:rFonts w:ascii="Tahoma" w:eastAsia="Times New Roman" w:hAnsi="Tahoma" w:cs="Tahoma"/>
      <w:sz w:val="16"/>
      <w:szCs w:val="16"/>
      <w:lang w:eastAsia="en-US"/>
    </w:rPr>
  </w:style>
  <w:style w:type="character" w:styleId="a7">
    <w:name w:val="Hyperlink"/>
    <w:rsid w:val="000D1614"/>
    <w:rPr>
      <w:color w:val="0000FF"/>
      <w:u w:val="single"/>
    </w:rPr>
  </w:style>
  <w:style w:type="paragraph" w:customStyle="1" w:styleId="a8">
    <w:name w:val="Содержимое таблицы"/>
    <w:basedOn w:val="a"/>
    <w:rsid w:val="00F91097"/>
    <w:pPr>
      <w:widowControl w:val="0"/>
      <w:suppressLineNumbers/>
      <w:suppressAutoHyphens/>
      <w:spacing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paragraph" w:customStyle="1" w:styleId="ConsNormal">
    <w:name w:val="ConsNormal"/>
    <w:rsid w:val="00A94570"/>
    <w:pPr>
      <w:suppressAutoHyphens/>
      <w:autoSpaceDE w:val="0"/>
      <w:spacing w:line="240" w:lineRule="atLeast"/>
      <w:ind w:firstLine="720"/>
    </w:pPr>
    <w:rPr>
      <w:rFonts w:ascii="Arial" w:eastAsia="Arial" w:hAnsi="Arial" w:cs="Arial"/>
      <w:lang w:eastAsia="ar-SA"/>
    </w:rPr>
  </w:style>
  <w:style w:type="paragraph" w:styleId="a9">
    <w:name w:val="footer"/>
    <w:basedOn w:val="a"/>
    <w:link w:val="aa"/>
    <w:uiPriority w:val="99"/>
    <w:unhideWhenUsed/>
    <w:rsid w:val="002005F3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2005F3"/>
    <w:rPr>
      <w:rFonts w:eastAsia="Times New Roman"/>
      <w:sz w:val="22"/>
      <w:szCs w:val="22"/>
    </w:rPr>
  </w:style>
  <w:style w:type="character" w:styleId="ab">
    <w:name w:val="FollowedHyperlink"/>
    <w:rsid w:val="00D132CF"/>
    <w:rPr>
      <w:color w:val="954F72"/>
      <w:u w:val="single"/>
    </w:rPr>
  </w:style>
  <w:style w:type="table" w:styleId="ac">
    <w:name w:val="Table Grid"/>
    <w:basedOn w:val="a1"/>
    <w:locked/>
    <w:rsid w:val="004B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295F0E"/>
    <w:pPr>
      <w:spacing w:line="240" w:lineRule="auto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rsid w:val="00295F0E"/>
    <w:rPr>
      <w:rFonts w:ascii="Arial" w:eastAsia="Times New Roman" w:hAnsi="Arial"/>
    </w:rPr>
  </w:style>
  <w:style w:type="character" w:styleId="af">
    <w:name w:val="footnote reference"/>
    <w:rsid w:val="00295F0E"/>
    <w:rPr>
      <w:vertAlign w:val="superscript"/>
    </w:rPr>
  </w:style>
  <w:style w:type="paragraph" w:customStyle="1" w:styleId="12">
    <w:name w:val="Абзац списка1"/>
    <w:basedOn w:val="a"/>
    <w:rsid w:val="00295F0E"/>
    <w:pPr>
      <w:spacing w:after="120" w:line="240" w:lineRule="auto"/>
      <w:ind w:left="567"/>
    </w:pPr>
    <w:rPr>
      <w:rFonts w:ascii="Arial" w:hAnsi="Arial"/>
    </w:rPr>
  </w:style>
  <w:style w:type="paragraph" w:customStyle="1" w:styleId="af0">
    <w:name w:val="Стиль"/>
    <w:rsid w:val="0004653D"/>
    <w:pPr>
      <w:widowControl w:val="0"/>
      <w:suppressAutoHyphens/>
      <w:spacing w:line="240" w:lineRule="atLeast"/>
    </w:pPr>
    <w:rPr>
      <w:rFonts w:ascii="Times New Roman" w:eastAsia="Arial" w:hAnsi="Times New Roman"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F657A1"/>
    <w:rPr>
      <w:color w:val="605E5C"/>
      <w:shd w:val="clear" w:color="auto" w:fill="E1DFDD"/>
    </w:rPr>
  </w:style>
  <w:style w:type="character" w:styleId="af1">
    <w:name w:val="annotation reference"/>
    <w:rsid w:val="00355D19"/>
    <w:rPr>
      <w:sz w:val="16"/>
      <w:szCs w:val="16"/>
    </w:rPr>
  </w:style>
  <w:style w:type="paragraph" w:styleId="af2">
    <w:name w:val="annotation text"/>
    <w:basedOn w:val="a"/>
    <w:link w:val="af3"/>
    <w:rsid w:val="00355D19"/>
    <w:rPr>
      <w:sz w:val="20"/>
      <w:szCs w:val="20"/>
    </w:rPr>
  </w:style>
  <w:style w:type="character" w:customStyle="1" w:styleId="af3">
    <w:name w:val="Текст примечания Знак"/>
    <w:link w:val="af2"/>
    <w:rsid w:val="00355D19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rsid w:val="00355D19"/>
    <w:rPr>
      <w:b/>
      <w:bCs/>
    </w:rPr>
  </w:style>
  <w:style w:type="character" w:customStyle="1" w:styleId="af5">
    <w:name w:val="Тема примечания Знак"/>
    <w:link w:val="af4"/>
    <w:rsid w:val="00355D19"/>
    <w:rPr>
      <w:rFonts w:eastAsia="Times New Roman"/>
      <w:b/>
      <w:bCs/>
      <w:lang w:eastAsia="en-US"/>
    </w:rPr>
  </w:style>
  <w:style w:type="paragraph" w:styleId="af6">
    <w:name w:val="List Paragraph"/>
    <w:basedOn w:val="a"/>
    <w:uiPriority w:val="34"/>
    <w:qFormat/>
    <w:rsid w:val="00673E53"/>
    <w:pPr>
      <w:ind w:left="720"/>
      <w:contextualSpacing/>
    </w:pPr>
  </w:style>
  <w:style w:type="paragraph" w:styleId="af7">
    <w:name w:val="Body Text"/>
    <w:basedOn w:val="a"/>
    <w:link w:val="af8"/>
    <w:rsid w:val="0033154F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3154F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eterburg@oboronregistr.ru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s://www.e-disclosure.ru/portal/company.aspx?id=2337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vladagrotorg.com/" TargetMode="External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8D9D-B2A6-4D8B-A36C-7E555B69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годового общего собрания акционеров</vt:lpstr>
    </vt:vector>
  </TitlesOfParts>
  <Company>*</Company>
  <LinksUpToDate>false</LinksUpToDate>
  <CharactersWithSpaces>22857</CharactersWithSpaces>
  <SharedDoc>false</SharedDoc>
  <HLinks>
    <vt:vector size="18" baseType="variant">
      <vt:variant>
        <vt:i4>4653071</vt:i4>
      </vt:variant>
      <vt:variant>
        <vt:i4>9</vt:i4>
      </vt:variant>
      <vt:variant>
        <vt:i4>0</vt:i4>
      </vt:variant>
      <vt:variant>
        <vt:i4>5</vt:i4>
      </vt:variant>
      <vt:variant>
        <vt:lpwstr>http://vladagrotorg.com/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https://disclosure.1prime.ru/Portal/Default.aspx?emId=3302000154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http://vladagrotorg.com/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годового общего собрания акционеров</dc:title>
  <dc:subject/>
  <dc:creator>VAT</dc:creator>
  <cp:keywords/>
  <dc:description/>
  <cp:lastModifiedBy>Sergey</cp:lastModifiedBy>
  <cp:revision>10</cp:revision>
  <cp:lastPrinted>2024-05-29T09:54:00Z</cp:lastPrinted>
  <dcterms:created xsi:type="dcterms:W3CDTF">2025-05-15T10:25:00Z</dcterms:created>
  <dcterms:modified xsi:type="dcterms:W3CDTF">2025-05-28T11:36:00Z</dcterms:modified>
</cp:coreProperties>
</file>